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2F96" w14:textId="77777777" w:rsidR="0025036E" w:rsidRPr="003C6B97" w:rsidRDefault="0025036E" w:rsidP="0025036E">
      <w:pPr>
        <w:spacing w:after="160"/>
        <w:ind w:left="180"/>
        <w:rPr>
          <w:rFonts w:ascii="Arial" w:hAnsi="Arial" w:cs="Arial"/>
          <w:b/>
          <w:bCs/>
          <w:color w:val="000000"/>
          <w:sz w:val="40"/>
          <w:szCs w:val="24"/>
        </w:rPr>
      </w:pPr>
      <w:r w:rsidRPr="003C6B97">
        <w:rPr>
          <w:rFonts w:ascii="Arial" w:hAnsi="Arial" w:cs="Arial"/>
          <w:b/>
          <w:bCs/>
          <w:color w:val="000000"/>
          <w:sz w:val="40"/>
          <w:szCs w:val="24"/>
        </w:rPr>
        <w:t>Public Health Residency Rotation:</w:t>
      </w:r>
    </w:p>
    <w:p w14:paraId="33486FCD" w14:textId="77777777" w:rsidR="0025036E" w:rsidRPr="00A77E1E" w:rsidRDefault="0025036E" w:rsidP="0025036E">
      <w:pPr>
        <w:pStyle w:val="ListParagraph"/>
        <w:spacing w:before="180" w:after="60"/>
        <w:ind w:left="180"/>
        <w:contextualSpacing w:val="0"/>
        <w:rPr>
          <w:rFonts w:ascii="Arial" w:hAnsi="Arial" w:cs="Arial"/>
          <w:b/>
          <w:sz w:val="24"/>
        </w:rPr>
      </w:pPr>
      <w:r w:rsidRPr="00A77E1E">
        <w:rPr>
          <w:rFonts w:ascii="Arial" w:hAnsi="Arial" w:cs="Arial"/>
          <w:b/>
          <w:sz w:val="24"/>
        </w:rPr>
        <w:t>Course Description:</w:t>
      </w:r>
    </w:p>
    <w:p w14:paraId="7CF5CAEF" w14:textId="77777777" w:rsidR="0025036E" w:rsidRPr="00A77E1E" w:rsidRDefault="0025036E" w:rsidP="0025036E">
      <w:pPr>
        <w:pStyle w:val="ListParagraph"/>
        <w:spacing w:after="60"/>
        <w:ind w:left="180"/>
        <w:contextualSpacing w:val="0"/>
        <w:rPr>
          <w:rFonts w:ascii="Arial" w:hAnsi="Arial" w:cs="Arial"/>
          <w:sz w:val="24"/>
        </w:rPr>
      </w:pPr>
      <w:r w:rsidRPr="00A77E1E">
        <w:rPr>
          <w:rFonts w:ascii="Arial" w:hAnsi="Arial" w:cs="Arial"/>
          <w:sz w:val="24"/>
        </w:rPr>
        <w:t>This course will provide exposure to the practice of public health at state and local levels, through on-line didactic learning and experiential learning in state and local health departments.</w:t>
      </w:r>
    </w:p>
    <w:p w14:paraId="7C772D41" w14:textId="77777777" w:rsidR="0025036E" w:rsidRPr="00A77E1E" w:rsidRDefault="0025036E" w:rsidP="0025036E">
      <w:pPr>
        <w:pStyle w:val="ListParagraph"/>
        <w:spacing w:before="180" w:after="60"/>
        <w:ind w:left="180"/>
        <w:contextualSpacing w:val="0"/>
        <w:rPr>
          <w:rFonts w:ascii="Arial" w:hAnsi="Arial" w:cs="Arial"/>
          <w:b/>
          <w:sz w:val="24"/>
        </w:rPr>
      </w:pPr>
      <w:r w:rsidRPr="00A77E1E">
        <w:rPr>
          <w:rFonts w:ascii="Arial" w:hAnsi="Arial" w:cs="Arial"/>
          <w:b/>
          <w:sz w:val="24"/>
        </w:rPr>
        <w:t>Training Sites:</w:t>
      </w:r>
    </w:p>
    <w:p w14:paraId="03100F54" w14:textId="77777777" w:rsidR="0025036E" w:rsidRPr="00A77E1E" w:rsidRDefault="0025036E" w:rsidP="0025036E">
      <w:pPr>
        <w:pStyle w:val="ListParagraph"/>
        <w:ind w:left="180"/>
        <w:rPr>
          <w:rFonts w:ascii="Arial" w:hAnsi="Arial" w:cs="Arial"/>
          <w:sz w:val="24"/>
        </w:rPr>
      </w:pPr>
      <w:r w:rsidRPr="00A77E1E">
        <w:rPr>
          <w:rFonts w:ascii="Arial" w:hAnsi="Arial" w:cs="Arial"/>
          <w:sz w:val="24"/>
        </w:rPr>
        <w:t xml:space="preserve">The elective is administratively housed in the Center for Medicine &amp; Public Health (Dept. of BSSM) at FSU-COM main campus. </w:t>
      </w:r>
      <w:r>
        <w:rPr>
          <w:rFonts w:ascii="Arial" w:hAnsi="Arial" w:cs="Arial"/>
          <w:sz w:val="24"/>
        </w:rPr>
        <w:t xml:space="preserve">Training sites will include state offices of the Florida Dept of Health (DOH) and local county health department sites.  </w:t>
      </w:r>
      <w:r w:rsidRPr="00A77E1E">
        <w:rPr>
          <w:rFonts w:ascii="Arial" w:hAnsi="Arial" w:cs="Arial"/>
          <w:sz w:val="24"/>
        </w:rPr>
        <w:t xml:space="preserve">In addition to direct teaching and mentoring from the course director (Dr. Rust) and other BSSM faculty, on-line didactic learning will be provided through CDC coursework and supplemental materials as described below.  </w:t>
      </w:r>
    </w:p>
    <w:p w14:paraId="1A28AE9C" w14:textId="77777777" w:rsidR="0025036E" w:rsidRPr="00744A93" w:rsidRDefault="0025036E" w:rsidP="0025036E">
      <w:pPr>
        <w:pStyle w:val="ListParagraph"/>
        <w:spacing w:before="180" w:after="60"/>
        <w:ind w:left="180"/>
        <w:contextualSpacing w:val="0"/>
        <w:rPr>
          <w:rFonts w:ascii="Arial" w:hAnsi="Arial" w:cs="Arial"/>
          <w:szCs w:val="24"/>
        </w:rPr>
      </w:pPr>
      <w:r w:rsidRPr="00A77E1E">
        <w:rPr>
          <w:rFonts w:ascii="Arial" w:hAnsi="Arial" w:cs="Arial"/>
          <w:b/>
          <w:sz w:val="24"/>
        </w:rPr>
        <w:t>Learning Outcomes / Course Objectives:</w:t>
      </w:r>
      <w:r w:rsidRPr="00A77E1E">
        <w:rPr>
          <w:rFonts w:ascii="Arial" w:hAnsi="Arial" w:cs="Arial"/>
          <w:b/>
          <w:sz w:val="24"/>
        </w:rPr>
        <w:br/>
      </w:r>
      <w:r w:rsidRPr="00744A93">
        <w:rPr>
          <w:rFonts w:ascii="Arial" w:hAnsi="Arial" w:cs="Arial"/>
          <w:szCs w:val="24"/>
        </w:rPr>
        <w:t>By the end of the rotation, each resident should have done or be able to do the following:</w:t>
      </w:r>
    </w:p>
    <w:p w14:paraId="25BF46C8"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 xml:space="preserve">To define and discuss the definitions of public health, the 3 core functions of public health, and the ten essential public health services. </w:t>
      </w:r>
    </w:p>
    <w:p w14:paraId="360B224D"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To understand the organizational structure and function of the Florida Department of health and surrounding county health departments, and to compare and contrast how other states manage the relationship between their state health department and local county, city or parish health departments.</w:t>
      </w:r>
    </w:p>
    <w:p w14:paraId="642FADED"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To discuss public health in the broader continuum of population health, with special attention to newer models of population health management, panel-based care management, and advanced payment models in the context of value-based healthcare.</w:t>
      </w:r>
    </w:p>
    <w:p w14:paraId="143041A8"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 xml:space="preserve">To describe the tools of communicable disease control, including epidemiology, outbreak investigation, isolation/quarantine, vaccination, treatment as prevention, surveillance, and contact tracing.  </w:t>
      </w:r>
    </w:p>
    <w:p w14:paraId="1A53745E"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 xml:space="preserve">To assess the quality of evidence available to assess community-level interventions, and to describe best-practice examples of scalable interventions that measurably improve population health outcomes in a specific focus area of the resident’s choosing. </w:t>
      </w:r>
    </w:p>
    <w:p w14:paraId="0EA405AE"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To name 3 specific success stories of public health and discuss critical factors in how they were achieved.</w:t>
      </w:r>
    </w:p>
    <w:p w14:paraId="457A9B49" w14:textId="77777777" w:rsidR="0025036E" w:rsidRPr="00744A93" w:rsidRDefault="0025036E" w:rsidP="0025036E">
      <w:pPr>
        <w:pStyle w:val="ListParagraph"/>
        <w:numPr>
          <w:ilvl w:val="0"/>
          <w:numId w:val="1"/>
        </w:numPr>
        <w:spacing w:before="80"/>
        <w:contextualSpacing w:val="0"/>
        <w:rPr>
          <w:rFonts w:ascii="Arial" w:hAnsi="Arial" w:cs="Arial"/>
          <w:szCs w:val="24"/>
        </w:rPr>
      </w:pPr>
      <w:r w:rsidRPr="00744A93">
        <w:rPr>
          <w:rFonts w:ascii="Arial" w:hAnsi="Arial" w:cs="Arial"/>
          <w:szCs w:val="24"/>
        </w:rPr>
        <w:t>To explain to another resident or medical student what their options might be for developing credentials in public health / preventive medicine, including certificate programs, MPH or Masters in Population Health degrees, residency or fellowship programs in General Preventive Medicine / Public Health, and/or CDC Epidemic Intelligence Service.</w:t>
      </w:r>
    </w:p>
    <w:p w14:paraId="0BA40668" w14:textId="77777777" w:rsidR="009A4388" w:rsidRDefault="0025036E">
      <w:bookmarkStart w:id="0" w:name="_GoBack"/>
      <w:bookmarkEnd w:id="0"/>
    </w:p>
    <w:sectPr w:rsidR="009A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F5E19"/>
    <w:multiLevelType w:val="hybridMultilevel"/>
    <w:tmpl w:val="3A04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6E"/>
    <w:rsid w:val="00026104"/>
    <w:rsid w:val="0025036E"/>
    <w:rsid w:val="00516305"/>
    <w:rsid w:val="00973910"/>
    <w:rsid w:val="00B3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474C"/>
  <w15:chartTrackingRefBased/>
  <w15:docId w15:val="{D2DB0B23-23C9-49D5-B1CC-811AAB9B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347296801164B816CFD9B9E4381AA" ma:contentTypeVersion="14" ma:contentTypeDescription="Create a new document." ma:contentTypeScope="" ma:versionID="e3d101526e0afc74cf64f31c163f7cec">
  <xsd:schema xmlns:xsd="http://www.w3.org/2001/XMLSchema" xmlns:xs="http://www.w3.org/2001/XMLSchema" xmlns:p="http://schemas.microsoft.com/office/2006/metadata/properties" xmlns:ns3="5fc356d5-21b8-46c5-b44d-0a4c76ffd60b" xmlns:ns4="f7536d91-4bdd-4f15-a4b8-f0493f3bd544" targetNamespace="http://schemas.microsoft.com/office/2006/metadata/properties" ma:root="true" ma:fieldsID="1b5c84b72ce520bf9f997b6e505aeb29" ns3:_="" ns4:_="">
    <xsd:import namespace="5fc356d5-21b8-46c5-b44d-0a4c76ffd60b"/>
    <xsd:import namespace="f7536d91-4bdd-4f15-a4b8-f0493f3bd5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356d5-21b8-46c5-b44d-0a4c76ffd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36d91-4bdd-4f15-a4b8-f0493f3bd5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B89F2-CF40-4D2D-93A4-03E2E384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356d5-21b8-46c5-b44d-0a4c76ffd60b"/>
    <ds:schemaRef ds:uri="f7536d91-4bdd-4f15-a4b8-f0493f3bd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5FD3-E05F-4398-8D2A-E1D97AC8BF8E}">
  <ds:schemaRefs>
    <ds:schemaRef ds:uri="http://schemas.microsoft.com/sharepoint/v3/contenttype/forms"/>
  </ds:schemaRefs>
</ds:datastoreItem>
</file>

<file path=customXml/itemProps3.xml><?xml version="1.0" encoding="utf-8"?>
<ds:datastoreItem xmlns:ds="http://schemas.openxmlformats.org/officeDocument/2006/customXml" ds:itemID="{7A85386D-800D-47D1-952A-3CE9A1EFCB4D}">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5fc356d5-21b8-46c5-b44d-0a4c76ffd60b"/>
    <ds:schemaRef ds:uri="http://schemas.microsoft.com/office/infopath/2007/PartnerControls"/>
    <ds:schemaRef ds:uri="f7536d91-4bdd-4f15-a4b8-f0493f3bd5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FSU College of Medicine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George</dc:creator>
  <cp:keywords/>
  <dc:description/>
  <cp:lastModifiedBy>Rust, George</cp:lastModifiedBy>
  <cp:revision>1</cp:revision>
  <dcterms:created xsi:type="dcterms:W3CDTF">2022-12-02T21:19:00Z</dcterms:created>
  <dcterms:modified xsi:type="dcterms:W3CDTF">2022-12-02T21:21:00Z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0x0101004C8347296801164B816CFD9B9E4381AA</vt:lpwstr>
  </property>
</Properties>
</file>