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90051" w14:textId="77777777" w:rsidR="00C55DF8" w:rsidRPr="00C55DF8" w:rsidRDefault="00F12A29" w:rsidP="00F60925">
      <w:pPr>
        <w:spacing w:after="200"/>
        <w:jc w:val="center"/>
        <w:rPr>
          <w:rFonts w:eastAsia="Calibri"/>
        </w:rPr>
      </w:pPr>
      <w:r>
        <w:rPr>
          <w:rFonts w:eastAsia="Times New Roman" w:cstheme="minorHAnsi"/>
          <w:noProof/>
          <w:szCs w:val="20"/>
        </w:rPr>
        <w:drawing>
          <wp:inline distT="0" distB="0" distL="0" distR="0" wp14:anchorId="651900D3" wp14:editId="651900D4">
            <wp:extent cx="6288258" cy="107961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urseTrackArrow_LG_rev2.png"/>
                    <pic:cNvPicPr/>
                  </pic:nvPicPr>
                  <pic:blipFill>
                    <a:blip r:embed="rId12">
                      <a:extLst>
                        <a:ext uri="{28A0092B-C50C-407E-A947-70E740481C1C}">
                          <a14:useLocalDpi xmlns:a14="http://schemas.microsoft.com/office/drawing/2010/main" val="0"/>
                        </a:ext>
                      </a:extLst>
                    </a:blip>
                    <a:stretch>
                      <a:fillRect/>
                    </a:stretch>
                  </pic:blipFill>
                  <pic:spPr>
                    <a:xfrm>
                      <a:off x="0" y="0"/>
                      <a:ext cx="6371430" cy="1093898"/>
                    </a:xfrm>
                    <a:prstGeom prst="rect">
                      <a:avLst/>
                    </a:prstGeom>
                  </pic:spPr>
                </pic:pic>
              </a:graphicData>
            </a:graphic>
          </wp:inline>
        </w:drawing>
      </w:r>
    </w:p>
    <w:p w14:paraId="65190052" w14:textId="77777777" w:rsidR="003B4844" w:rsidRDefault="003B4844" w:rsidP="00F60925">
      <w:pPr>
        <w:pStyle w:val="Header"/>
        <w:jc w:val="center"/>
        <w:rPr>
          <w:b/>
          <w:sz w:val="40"/>
          <w:szCs w:val="40"/>
        </w:rPr>
      </w:pPr>
    </w:p>
    <w:p w14:paraId="65190053" w14:textId="77777777" w:rsidR="00E47233" w:rsidRDefault="00E47233" w:rsidP="00F60925">
      <w:pPr>
        <w:pStyle w:val="Header"/>
        <w:jc w:val="center"/>
        <w:rPr>
          <w:b/>
          <w:sz w:val="40"/>
          <w:szCs w:val="40"/>
        </w:rPr>
      </w:pPr>
    </w:p>
    <w:p w14:paraId="65190054" w14:textId="77777777" w:rsidR="003B4844" w:rsidRDefault="003B4844" w:rsidP="00F60925">
      <w:pPr>
        <w:pStyle w:val="Header"/>
        <w:jc w:val="center"/>
        <w:rPr>
          <w:b/>
          <w:sz w:val="40"/>
          <w:szCs w:val="40"/>
        </w:rPr>
      </w:pPr>
    </w:p>
    <w:p w14:paraId="65190055" w14:textId="77777777" w:rsidR="003B4844" w:rsidRDefault="003B4844" w:rsidP="00F60925">
      <w:pPr>
        <w:pStyle w:val="Header"/>
        <w:jc w:val="center"/>
        <w:rPr>
          <w:b/>
          <w:sz w:val="40"/>
          <w:szCs w:val="40"/>
        </w:rPr>
      </w:pPr>
    </w:p>
    <w:p w14:paraId="65190056" w14:textId="77777777" w:rsidR="00F12A29" w:rsidRPr="005E558A" w:rsidRDefault="00F12A29" w:rsidP="00F60925">
      <w:pPr>
        <w:pStyle w:val="Header"/>
        <w:jc w:val="center"/>
        <w:rPr>
          <w:b/>
          <w:sz w:val="40"/>
          <w:szCs w:val="40"/>
        </w:rPr>
      </w:pPr>
      <w:r w:rsidRPr="005E558A">
        <w:rPr>
          <w:b/>
          <w:sz w:val="40"/>
          <w:szCs w:val="40"/>
        </w:rPr>
        <w:t xml:space="preserve">Longitudinal Integrated Clerkships </w:t>
      </w:r>
    </w:p>
    <w:p w14:paraId="65190057" w14:textId="77777777" w:rsidR="005B338A" w:rsidRPr="005E558A" w:rsidRDefault="005B338A" w:rsidP="00F60925">
      <w:pPr>
        <w:jc w:val="center"/>
        <w:rPr>
          <w:rFonts w:eastAsia="Calibri"/>
          <w:b/>
          <w:sz w:val="40"/>
          <w:szCs w:val="40"/>
        </w:rPr>
      </w:pPr>
      <w:r w:rsidRPr="005E558A">
        <w:rPr>
          <w:rFonts w:eastAsia="Calibri"/>
          <w:b/>
          <w:sz w:val="40"/>
          <w:szCs w:val="40"/>
        </w:rPr>
        <w:t xml:space="preserve">General </w:t>
      </w:r>
      <w:r w:rsidR="00950BFB" w:rsidRPr="005E558A">
        <w:rPr>
          <w:rFonts w:eastAsia="Calibri"/>
          <w:b/>
          <w:sz w:val="40"/>
          <w:szCs w:val="40"/>
        </w:rPr>
        <w:t xml:space="preserve">Information and </w:t>
      </w:r>
      <w:r w:rsidRPr="005E558A">
        <w:rPr>
          <w:rFonts w:eastAsia="Calibri"/>
          <w:b/>
          <w:sz w:val="40"/>
          <w:szCs w:val="40"/>
        </w:rPr>
        <w:t>Policy Guide</w:t>
      </w:r>
    </w:p>
    <w:p w14:paraId="65190058" w14:textId="77777777" w:rsidR="00950BFB" w:rsidRPr="00950BFB" w:rsidRDefault="00950BFB" w:rsidP="00F60925">
      <w:pPr>
        <w:jc w:val="center"/>
        <w:rPr>
          <w:rFonts w:eastAsia="Calibri"/>
          <w:b/>
          <w:sz w:val="40"/>
          <w:szCs w:val="40"/>
        </w:rPr>
      </w:pPr>
      <w:r w:rsidRPr="00950BFB">
        <w:rPr>
          <w:rFonts w:eastAsia="Calibri"/>
          <w:b/>
          <w:sz w:val="40"/>
          <w:szCs w:val="40"/>
        </w:rPr>
        <w:t>2018-2019</w:t>
      </w:r>
    </w:p>
    <w:p w14:paraId="65190059" w14:textId="77777777" w:rsidR="00950BFB" w:rsidRDefault="00950BFB" w:rsidP="00F60925">
      <w:pPr>
        <w:spacing w:after="200"/>
        <w:jc w:val="center"/>
        <w:rPr>
          <w:rFonts w:eastAsia="Calibri"/>
          <w:b/>
          <w:sz w:val="40"/>
          <w:szCs w:val="40"/>
        </w:rPr>
      </w:pPr>
    </w:p>
    <w:p w14:paraId="6519005A" w14:textId="77777777" w:rsidR="003B4844" w:rsidRDefault="003B4844" w:rsidP="00F60925">
      <w:pPr>
        <w:spacing w:after="200"/>
        <w:jc w:val="center"/>
        <w:rPr>
          <w:rFonts w:eastAsia="Calibri"/>
          <w:b/>
          <w:sz w:val="40"/>
          <w:szCs w:val="40"/>
        </w:rPr>
      </w:pPr>
    </w:p>
    <w:p w14:paraId="6519005B" w14:textId="77777777" w:rsidR="00E47233" w:rsidRPr="00F60925" w:rsidRDefault="00E47233" w:rsidP="00F60925">
      <w:pPr>
        <w:spacing w:after="200"/>
        <w:jc w:val="center"/>
        <w:rPr>
          <w:rFonts w:eastAsia="Calibri"/>
          <w:b/>
          <w:sz w:val="40"/>
          <w:szCs w:val="40"/>
        </w:rPr>
      </w:pPr>
    </w:p>
    <w:p w14:paraId="6519005C" w14:textId="77777777" w:rsidR="00950BFB" w:rsidRPr="00950BFB" w:rsidRDefault="00950BFB" w:rsidP="00F60925">
      <w:pPr>
        <w:rPr>
          <w:rFonts w:eastAsia="Calibri"/>
          <w:b/>
          <w:sz w:val="28"/>
          <w:szCs w:val="28"/>
          <w:u w:val="single"/>
        </w:rPr>
      </w:pPr>
      <w:r w:rsidRPr="00950BFB">
        <w:rPr>
          <w:rFonts w:eastAsia="Calibri"/>
          <w:b/>
          <w:sz w:val="28"/>
          <w:szCs w:val="28"/>
          <w:u w:val="single"/>
        </w:rPr>
        <w:t>Director</w:t>
      </w:r>
      <w:r w:rsidR="003B4844">
        <w:rPr>
          <w:rFonts w:eastAsia="Calibri"/>
          <w:b/>
          <w:sz w:val="28"/>
          <w:szCs w:val="28"/>
          <w:u w:val="single"/>
        </w:rPr>
        <w:t xml:space="preserve"> of Rural Medical Education</w:t>
      </w:r>
    </w:p>
    <w:p w14:paraId="6519005D" w14:textId="77777777" w:rsidR="00996689" w:rsidRPr="003B4844" w:rsidRDefault="00996689" w:rsidP="003B4844">
      <w:pPr>
        <w:rPr>
          <w:b/>
          <w:sz w:val="28"/>
          <w:szCs w:val="28"/>
        </w:rPr>
      </w:pPr>
      <w:r w:rsidRPr="003B4844">
        <w:rPr>
          <w:b/>
          <w:sz w:val="28"/>
          <w:szCs w:val="28"/>
        </w:rPr>
        <w:t>Anthony C. Speights, MD, FACOG,</w:t>
      </w:r>
      <w:r w:rsidR="003B4844" w:rsidRPr="003B4844">
        <w:rPr>
          <w:b/>
          <w:sz w:val="28"/>
          <w:szCs w:val="28"/>
        </w:rPr>
        <w:t xml:space="preserve"> </w:t>
      </w:r>
      <w:r w:rsidRPr="003B4844">
        <w:rPr>
          <w:b/>
          <w:sz w:val="28"/>
          <w:szCs w:val="28"/>
        </w:rPr>
        <w:t>AAHIVS</w:t>
      </w:r>
    </w:p>
    <w:p w14:paraId="6519005E" w14:textId="77777777" w:rsidR="00996689" w:rsidRPr="003B4844" w:rsidRDefault="00996689" w:rsidP="003B4844">
      <w:pPr>
        <w:rPr>
          <w:sz w:val="28"/>
          <w:szCs w:val="28"/>
        </w:rPr>
      </w:pPr>
      <w:r w:rsidRPr="003B4844">
        <w:rPr>
          <w:sz w:val="28"/>
          <w:szCs w:val="28"/>
        </w:rPr>
        <w:t>Department of Family Medicine and Rural Health</w:t>
      </w:r>
    </w:p>
    <w:p w14:paraId="6519005F" w14:textId="77777777" w:rsidR="00996689" w:rsidRPr="003B4844" w:rsidRDefault="00996689" w:rsidP="003B4844">
      <w:pPr>
        <w:rPr>
          <w:sz w:val="28"/>
          <w:szCs w:val="28"/>
        </w:rPr>
      </w:pPr>
      <w:r w:rsidRPr="003B4844">
        <w:rPr>
          <w:sz w:val="28"/>
          <w:szCs w:val="28"/>
        </w:rPr>
        <w:t>Phone 850.645.3805</w:t>
      </w:r>
      <w:r w:rsidR="003B4844">
        <w:rPr>
          <w:sz w:val="28"/>
          <w:szCs w:val="28"/>
        </w:rPr>
        <w:t xml:space="preserve"> | </w:t>
      </w:r>
      <w:r w:rsidRPr="003B4844">
        <w:rPr>
          <w:sz w:val="28"/>
          <w:szCs w:val="28"/>
        </w:rPr>
        <w:t>Fax 850.645.2859</w:t>
      </w:r>
    </w:p>
    <w:p w14:paraId="65190060" w14:textId="77777777" w:rsidR="005B338A" w:rsidRDefault="003B4844" w:rsidP="003B4844">
      <w:pPr>
        <w:rPr>
          <w:rFonts w:asciiTheme="minorHAnsi" w:hAnsiTheme="minorHAnsi"/>
          <w:sz w:val="28"/>
          <w:szCs w:val="28"/>
        </w:rPr>
      </w:pPr>
      <w:r>
        <w:rPr>
          <w:rFonts w:asciiTheme="minorHAnsi" w:hAnsiTheme="minorHAnsi"/>
          <w:sz w:val="28"/>
          <w:szCs w:val="28"/>
        </w:rPr>
        <w:t xml:space="preserve">Email: </w:t>
      </w:r>
      <w:hyperlink r:id="rId13" w:history="1">
        <w:r w:rsidRPr="00CE2AB3">
          <w:rPr>
            <w:rStyle w:val="Hyperlink"/>
            <w:rFonts w:asciiTheme="minorHAnsi" w:hAnsiTheme="minorHAnsi"/>
            <w:sz w:val="28"/>
            <w:szCs w:val="28"/>
          </w:rPr>
          <w:t>anthony.speights@med.fsu.edu</w:t>
        </w:r>
      </w:hyperlink>
    </w:p>
    <w:p w14:paraId="65190061" w14:textId="77777777" w:rsidR="003B4844" w:rsidRDefault="003B4844" w:rsidP="003B4844">
      <w:pPr>
        <w:rPr>
          <w:rFonts w:asciiTheme="minorHAnsi" w:hAnsiTheme="minorHAnsi"/>
          <w:sz w:val="28"/>
          <w:szCs w:val="28"/>
        </w:rPr>
      </w:pPr>
    </w:p>
    <w:p w14:paraId="65190062" w14:textId="77777777" w:rsidR="00E47233" w:rsidRPr="003B4844" w:rsidRDefault="00E47233" w:rsidP="003B4844">
      <w:pPr>
        <w:rPr>
          <w:rFonts w:asciiTheme="minorHAnsi" w:hAnsiTheme="minorHAnsi"/>
          <w:sz w:val="28"/>
          <w:szCs w:val="28"/>
        </w:rPr>
      </w:pPr>
    </w:p>
    <w:p w14:paraId="65190063" w14:textId="77777777" w:rsidR="003B4844" w:rsidRPr="003B4844" w:rsidRDefault="003B4844" w:rsidP="003B4844">
      <w:pPr>
        <w:rPr>
          <w:rFonts w:asciiTheme="minorHAnsi" w:hAnsiTheme="minorHAnsi"/>
          <w:b/>
          <w:sz w:val="28"/>
          <w:szCs w:val="28"/>
          <w:u w:val="single"/>
        </w:rPr>
      </w:pPr>
      <w:r w:rsidRPr="003B4844">
        <w:rPr>
          <w:rFonts w:asciiTheme="minorHAnsi" w:hAnsiTheme="minorHAnsi"/>
          <w:b/>
          <w:sz w:val="28"/>
          <w:szCs w:val="28"/>
          <w:u w:val="single"/>
        </w:rPr>
        <w:t>Clerkship Administrator</w:t>
      </w:r>
    </w:p>
    <w:p w14:paraId="65190064" w14:textId="77777777" w:rsidR="003B4844" w:rsidRPr="003B4844" w:rsidRDefault="003B4844" w:rsidP="003B4844">
      <w:pPr>
        <w:rPr>
          <w:rFonts w:asciiTheme="minorHAnsi" w:hAnsiTheme="minorHAnsi"/>
          <w:sz w:val="28"/>
          <w:szCs w:val="28"/>
        </w:rPr>
      </w:pPr>
      <w:r w:rsidRPr="003B4844">
        <w:rPr>
          <w:rFonts w:asciiTheme="minorHAnsi" w:hAnsiTheme="minorHAnsi"/>
          <w:sz w:val="28"/>
          <w:szCs w:val="28"/>
        </w:rPr>
        <w:t>Steven Spence</w:t>
      </w:r>
      <w:r>
        <w:rPr>
          <w:rFonts w:asciiTheme="minorHAnsi" w:hAnsiTheme="minorHAnsi"/>
          <w:sz w:val="28"/>
          <w:szCs w:val="28"/>
        </w:rPr>
        <w:t xml:space="preserve">, </w:t>
      </w:r>
      <w:r w:rsidRPr="003B4844">
        <w:rPr>
          <w:rFonts w:asciiTheme="minorHAnsi" w:hAnsiTheme="minorHAnsi"/>
          <w:sz w:val="28"/>
          <w:szCs w:val="28"/>
        </w:rPr>
        <w:t>MD</w:t>
      </w:r>
    </w:p>
    <w:p w14:paraId="65190065" w14:textId="77777777" w:rsidR="003B4844" w:rsidRPr="003B4844" w:rsidRDefault="003B4844" w:rsidP="003B4844">
      <w:pPr>
        <w:rPr>
          <w:rFonts w:asciiTheme="minorHAnsi" w:hAnsiTheme="minorHAnsi"/>
          <w:sz w:val="28"/>
          <w:szCs w:val="28"/>
        </w:rPr>
      </w:pPr>
      <w:r>
        <w:rPr>
          <w:rFonts w:asciiTheme="minorHAnsi" w:hAnsiTheme="minorHAnsi"/>
          <w:sz w:val="28"/>
          <w:szCs w:val="28"/>
        </w:rPr>
        <w:t xml:space="preserve">Phone: </w:t>
      </w:r>
      <w:r w:rsidRPr="003B4844">
        <w:rPr>
          <w:rFonts w:asciiTheme="minorHAnsi" w:hAnsiTheme="minorHAnsi"/>
          <w:sz w:val="28"/>
          <w:szCs w:val="28"/>
        </w:rPr>
        <w:t>850</w:t>
      </w:r>
      <w:r>
        <w:rPr>
          <w:rFonts w:asciiTheme="minorHAnsi" w:hAnsiTheme="minorHAnsi"/>
          <w:sz w:val="28"/>
          <w:szCs w:val="28"/>
        </w:rPr>
        <w:t>.</w:t>
      </w:r>
      <w:r w:rsidRPr="003B4844">
        <w:rPr>
          <w:rFonts w:asciiTheme="minorHAnsi" w:hAnsiTheme="minorHAnsi"/>
          <w:sz w:val="28"/>
          <w:szCs w:val="28"/>
        </w:rPr>
        <w:t>526</w:t>
      </w:r>
      <w:r>
        <w:rPr>
          <w:rFonts w:asciiTheme="minorHAnsi" w:hAnsiTheme="minorHAnsi"/>
          <w:sz w:val="28"/>
          <w:szCs w:val="28"/>
        </w:rPr>
        <w:t>.</w:t>
      </w:r>
      <w:r w:rsidRPr="003B4844">
        <w:rPr>
          <w:rFonts w:asciiTheme="minorHAnsi" w:hAnsiTheme="minorHAnsi"/>
          <w:sz w:val="28"/>
          <w:szCs w:val="28"/>
        </w:rPr>
        <w:t>2888</w:t>
      </w:r>
    </w:p>
    <w:p w14:paraId="65190066" w14:textId="77777777" w:rsidR="003B4844" w:rsidRPr="003B4844" w:rsidRDefault="003B4844" w:rsidP="003B4844">
      <w:pPr>
        <w:rPr>
          <w:rFonts w:asciiTheme="minorHAnsi" w:hAnsiTheme="minorHAnsi"/>
          <w:sz w:val="28"/>
          <w:szCs w:val="28"/>
        </w:rPr>
      </w:pPr>
      <w:r>
        <w:rPr>
          <w:rFonts w:asciiTheme="minorHAnsi" w:hAnsiTheme="minorHAnsi"/>
          <w:sz w:val="28"/>
          <w:szCs w:val="28"/>
        </w:rPr>
        <w:lastRenderedPageBreak/>
        <w:t xml:space="preserve">Email: </w:t>
      </w:r>
      <w:r w:rsidRPr="003B4844">
        <w:rPr>
          <w:rStyle w:val="Hyperlink"/>
          <w:sz w:val="28"/>
        </w:rPr>
        <w:t>stevenspence@jackhosp.org</w:t>
      </w:r>
    </w:p>
    <w:p w14:paraId="65190067" w14:textId="77777777" w:rsidR="003B4844" w:rsidRDefault="003B4844" w:rsidP="003B4844">
      <w:pPr>
        <w:rPr>
          <w:rFonts w:asciiTheme="minorHAnsi" w:hAnsiTheme="minorHAnsi"/>
          <w:sz w:val="28"/>
          <w:szCs w:val="28"/>
        </w:rPr>
      </w:pPr>
    </w:p>
    <w:p w14:paraId="65190068" w14:textId="77777777" w:rsidR="003B4844" w:rsidRDefault="003B4844">
      <w:pPr>
        <w:spacing w:after="160" w:line="259" w:lineRule="auto"/>
        <w:rPr>
          <w:rFonts w:asciiTheme="minorHAnsi" w:hAnsiTheme="minorHAnsi"/>
          <w:sz w:val="28"/>
          <w:szCs w:val="28"/>
        </w:rPr>
      </w:pPr>
      <w:r>
        <w:rPr>
          <w:rFonts w:asciiTheme="minorHAnsi" w:hAnsiTheme="minorHAnsi"/>
          <w:sz w:val="28"/>
          <w:szCs w:val="28"/>
        </w:rPr>
        <w:br w:type="page"/>
      </w:r>
      <w:bookmarkStart w:id="0" w:name="_GoBack"/>
      <w:bookmarkEnd w:id="0"/>
    </w:p>
    <w:sdt>
      <w:sdtPr>
        <w:rPr>
          <w:rFonts w:ascii="Calibri" w:eastAsiaTheme="minorHAnsi" w:hAnsi="Calibri" w:cs="Times New Roman"/>
          <w:color w:val="auto"/>
          <w:sz w:val="22"/>
          <w:szCs w:val="22"/>
        </w:rPr>
        <w:id w:val="-1191364795"/>
        <w:docPartObj>
          <w:docPartGallery w:val="Table of Contents"/>
          <w:docPartUnique/>
        </w:docPartObj>
      </w:sdtPr>
      <w:sdtEndPr>
        <w:rPr>
          <w:b/>
          <w:bCs/>
          <w:noProof/>
        </w:rPr>
      </w:sdtEndPr>
      <w:sdtContent>
        <w:p w14:paraId="65190069" w14:textId="77777777" w:rsidR="00F60925" w:rsidRPr="003B4844" w:rsidRDefault="00F60925" w:rsidP="00202D89">
          <w:pPr>
            <w:pStyle w:val="TOCHeading"/>
            <w:spacing w:line="240" w:lineRule="auto"/>
            <w:jc w:val="center"/>
            <w:rPr>
              <w:rFonts w:asciiTheme="minorHAnsi" w:hAnsiTheme="minorHAnsi"/>
              <w:b/>
              <w:color w:val="auto"/>
              <w:sz w:val="28"/>
              <w:szCs w:val="28"/>
            </w:rPr>
          </w:pPr>
          <w:r w:rsidRPr="003B4844">
            <w:rPr>
              <w:rFonts w:asciiTheme="minorHAnsi" w:hAnsiTheme="minorHAnsi"/>
              <w:b/>
              <w:color w:val="auto"/>
              <w:sz w:val="28"/>
              <w:szCs w:val="28"/>
            </w:rPr>
            <w:t>Contents</w:t>
          </w:r>
        </w:p>
        <w:p w14:paraId="277C4EB3" w14:textId="77777777" w:rsidR="000C0B9A" w:rsidRDefault="00F60925">
          <w:pPr>
            <w:pStyle w:val="TOC2"/>
            <w:tabs>
              <w:tab w:val="right" w:leader="dot" w:pos="10070"/>
            </w:tabs>
            <w:rPr>
              <w:rFonts w:asciiTheme="minorHAnsi" w:eastAsiaTheme="minorEastAsia" w:hAnsiTheme="minorHAnsi" w:cstheme="minorBidi"/>
              <w:noProof/>
            </w:rPr>
          </w:pPr>
          <w:r w:rsidRPr="003B4844">
            <w:rPr>
              <w:rFonts w:asciiTheme="minorHAnsi" w:hAnsiTheme="minorHAnsi"/>
              <w:sz w:val="28"/>
              <w:szCs w:val="28"/>
            </w:rPr>
            <w:fldChar w:fldCharType="begin"/>
          </w:r>
          <w:r w:rsidRPr="003B4844">
            <w:rPr>
              <w:rFonts w:asciiTheme="minorHAnsi" w:hAnsiTheme="minorHAnsi"/>
              <w:sz w:val="28"/>
              <w:szCs w:val="28"/>
            </w:rPr>
            <w:instrText xml:space="preserve"> TOC \o "1-3" \h \z \u </w:instrText>
          </w:r>
          <w:r w:rsidRPr="003B4844">
            <w:rPr>
              <w:rFonts w:asciiTheme="minorHAnsi" w:hAnsiTheme="minorHAnsi"/>
              <w:sz w:val="28"/>
              <w:szCs w:val="28"/>
            </w:rPr>
            <w:fldChar w:fldCharType="separate"/>
          </w:r>
          <w:hyperlink w:anchor="_Toc516767124" w:history="1">
            <w:r w:rsidR="000C0B9A" w:rsidRPr="005B5488">
              <w:rPr>
                <w:rStyle w:val="Hyperlink"/>
                <w:noProof/>
              </w:rPr>
              <w:t>Introduction</w:t>
            </w:r>
            <w:r w:rsidR="000C0B9A">
              <w:rPr>
                <w:noProof/>
                <w:webHidden/>
              </w:rPr>
              <w:tab/>
            </w:r>
            <w:r w:rsidR="000C0B9A">
              <w:rPr>
                <w:noProof/>
                <w:webHidden/>
              </w:rPr>
              <w:fldChar w:fldCharType="begin"/>
            </w:r>
            <w:r w:rsidR="000C0B9A">
              <w:rPr>
                <w:noProof/>
                <w:webHidden/>
              </w:rPr>
              <w:instrText xml:space="preserve"> PAGEREF _Toc516767124 \h </w:instrText>
            </w:r>
            <w:r w:rsidR="000C0B9A">
              <w:rPr>
                <w:noProof/>
                <w:webHidden/>
              </w:rPr>
            </w:r>
            <w:r w:rsidR="000C0B9A">
              <w:rPr>
                <w:noProof/>
                <w:webHidden/>
              </w:rPr>
              <w:fldChar w:fldCharType="separate"/>
            </w:r>
            <w:r w:rsidR="000C0B9A">
              <w:rPr>
                <w:noProof/>
                <w:webHidden/>
              </w:rPr>
              <w:t>3</w:t>
            </w:r>
            <w:r w:rsidR="000C0B9A">
              <w:rPr>
                <w:noProof/>
                <w:webHidden/>
              </w:rPr>
              <w:fldChar w:fldCharType="end"/>
            </w:r>
          </w:hyperlink>
        </w:p>
        <w:p w14:paraId="66E3EAF6" w14:textId="77777777" w:rsidR="000C0B9A" w:rsidRDefault="00845D5D">
          <w:pPr>
            <w:pStyle w:val="TOC2"/>
            <w:tabs>
              <w:tab w:val="right" w:leader="dot" w:pos="10070"/>
            </w:tabs>
            <w:rPr>
              <w:rFonts w:asciiTheme="minorHAnsi" w:eastAsiaTheme="minorEastAsia" w:hAnsiTheme="minorHAnsi" w:cstheme="minorBidi"/>
              <w:noProof/>
            </w:rPr>
          </w:pPr>
          <w:hyperlink w:anchor="_Toc516767125" w:history="1">
            <w:r w:rsidR="000C0B9A" w:rsidRPr="005B5488">
              <w:rPr>
                <w:rStyle w:val="Hyperlink"/>
                <w:noProof/>
              </w:rPr>
              <w:t>LIC Basics</w:t>
            </w:r>
            <w:r w:rsidR="000C0B9A">
              <w:rPr>
                <w:noProof/>
                <w:webHidden/>
              </w:rPr>
              <w:tab/>
            </w:r>
            <w:r w:rsidR="000C0B9A">
              <w:rPr>
                <w:noProof/>
                <w:webHidden/>
              </w:rPr>
              <w:fldChar w:fldCharType="begin"/>
            </w:r>
            <w:r w:rsidR="000C0B9A">
              <w:rPr>
                <w:noProof/>
                <w:webHidden/>
              </w:rPr>
              <w:instrText xml:space="preserve"> PAGEREF _Toc516767125 \h </w:instrText>
            </w:r>
            <w:r w:rsidR="000C0B9A">
              <w:rPr>
                <w:noProof/>
                <w:webHidden/>
              </w:rPr>
            </w:r>
            <w:r w:rsidR="000C0B9A">
              <w:rPr>
                <w:noProof/>
                <w:webHidden/>
              </w:rPr>
              <w:fldChar w:fldCharType="separate"/>
            </w:r>
            <w:r w:rsidR="000C0B9A">
              <w:rPr>
                <w:noProof/>
                <w:webHidden/>
              </w:rPr>
              <w:t>3</w:t>
            </w:r>
            <w:r w:rsidR="000C0B9A">
              <w:rPr>
                <w:noProof/>
                <w:webHidden/>
              </w:rPr>
              <w:fldChar w:fldCharType="end"/>
            </w:r>
          </w:hyperlink>
        </w:p>
        <w:p w14:paraId="50B9D993" w14:textId="77777777" w:rsidR="000C0B9A" w:rsidRDefault="00845D5D">
          <w:pPr>
            <w:pStyle w:val="TOC2"/>
            <w:tabs>
              <w:tab w:val="right" w:leader="dot" w:pos="10070"/>
            </w:tabs>
            <w:rPr>
              <w:rFonts w:asciiTheme="minorHAnsi" w:eastAsiaTheme="minorEastAsia" w:hAnsiTheme="minorHAnsi" w:cstheme="minorBidi"/>
              <w:noProof/>
            </w:rPr>
          </w:pPr>
          <w:hyperlink w:anchor="_Toc516767126" w:history="1">
            <w:r w:rsidR="000C0B9A" w:rsidRPr="005B5488">
              <w:rPr>
                <w:rStyle w:val="Hyperlink"/>
                <w:noProof/>
              </w:rPr>
              <w:t>Length of Clerkships</w:t>
            </w:r>
            <w:r w:rsidR="000C0B9A">
              <w:rPr>
                <w:noProof/>
                <w:webHidden/>
              </w:rPr>
              <w:tab/>
            </w:r>
            <w:r w:rsidR="000C0B9A">
              <w:rPr>
                <w:noProof/>
                <w:webHidden/>
              </w:rPr>
              <w:fldChar w:fldCharType="begin"/>
            </w:r>
            <w:r w:rsidR="000C0B9A">
              <w:rPr>
                <w:noProof/>
                <w:webHidden/>
              </w:rPr>
              <w:instrText xml:space="preserve"> PAGEREF _Toc516767126 \h </w:instrText>
            </w:r>
            <w:r w:rsidR="000C0B9A">
              <w:rPr>
                <w:noProof/>
                <w:webHidden/>
              </w:rPr>
            </w:r>
            <w:r w:rsidR="000C0B9A">
              <w:rPr>
                <w:noProof/>
                <w:webHidden/>
              </w:rPr>
              <w:fldChar w:fldCharType="separate"/>
            </w:r>
            <w:r w:rsidR="000C0B9A">
              <w:rPr>
                <w:noProof/>
                <w:webHidden/>
              </w:rPr>
              <w:t>3</w:t>
            </w:r>
            <w:r w:rsidR="000C0B9A">
              <w:rPr>
                <w:noProof/>
                <w:webHidden/>
              </w:rPr>
              <w:fldChar w:fldCharType="end"/>
            </w:r>
          </w:hyperlink>
        </w:p>
        <w:p w14:paraId="04DCC010" w14:textId="77777777" w:rsidR="000C0B9A" w:rsidRDefault="00845D5D">
          <w:pPr>
            <w:pStyle w:val="TOC2"/>
            <w:tabs>
              <w:tab w:val="right" w:leader="dot" w:pos="10070"/>
            </w:tabs>
            <w:rPr>
              <w:rFonts w:asciiTheme="minorHAnsi" w:eastAsiaTheme="minorEastAsia" w:hAnsiTheme="minorHAnsi" w:cstheme="minorBidi"/>
              <w:noProof/>
            </w:rPr>
          </w:pPr>
          <w:hyperlink w:anchor="_Toc516767127" w:history="1">
            <w:r w:rsidR="000C0B9A" w:rsidRPr="005B5488">
              <w:rPr>
                <w:rStyle w:val="Hyperlink"/>
                <w:noProof/>
              </w:rPr>
              <w:t>Evaluations by Faculty</w:t>
            </w:r>
            <w:r w:rsidR="000C0B9A">
              <w:rPr>
                <w:noProof/>
                <w:webHidden/>
              </w:rPr>
              <w:tab/>
            </w:r>
            <w:r w:rsidR="000C0B9A">
              <w:rPr>
                <w:noProof/>
                <w:webHidden/>
              </w:rPr>
              <w:fldChar w:fldCharType="begin"/>
            </w:r>
            <w:r w:rsidR="000C0B9A">
              <w:rPr>
                <w:noProof/>
                <w:webHidden/>
              </w:rPr>
              <w:instrText xml:space="preserve"> PAGEREF _Toc516767127 \h </w:instrText>
            </w:r>
            <w:r w:rsidR="000C0B9A">
              <w:rPr>
                <w:noProof/>
                <w:webHidden/>
              </w:rPr>
            </w:r>
            <w:r w:rsidR="000C0B9A">
              <w:rPr>
                <w:noProof/>
                <w:webHidden/>
              </w:rPr>
              <w:fldChar w:fldCharType="separate"/>
            </w:r>
            <w:r w:rsidR="000C0B9A">
              <w:rPr>
                <w:noProof/>
                <w:webHidden/>
              </w:rPr>
              <w:t>3</w:t>
            </w:r>
            <w:r w:rsidR="000C0B9A">
              <w:rPr>
                <w:noProof/>
                <w:webHidden/>
              </w:rPr>
              <w:fldChar w:fldCharType="end"/>
            </w:r>
          </w:hyperlink>
        </w:p>
        <w:p w14:paraId="23C0C941" w14:textId="77777777" w:rsidR="000C0B9A" w:rsidRDefault="00845D5D">
          <w:pPr>
            <w:pStyle w:val="TOC2"/>
            <w:tabs>
              <w:tab w:val="right" w:leader="dot" w:pos="10070"/>
            </w:tabs>
            <w:rPr>
              <w:rFonts w:asciiTheme="minorHAnsi" w:eastAsiaTheme="minorEastAsia" w:hAnsiTheme="minorHAnsi" w:cstheme="minorBidi"/>
              <w:noProof/>
            </w:rPr>
          </w:pPr>
          <w:hyperlink w:anchor="_Toc516767128" w:history="1">
            <w:r w:rsidR="000C0B9A" w:rsidRPr="005B5488">
              <w:rPr>
                <w:rStyle w:val="Hyperlink"/>
                <w:noProof/>
              </w:rPr>
              <w:t>Clinical Encounter Documentation</w:t>
            </w:r>
            <w:r w:rsidR="000C0B9A">
              <w:rPr>
                <w:noProof/>
                <w:webHidden/>
              </w:rPr>
              <w:tab/>
            </w:r>
            <w:r w:rsidR="000C0B9A">
              <w:rPr>
                <w:noProof/>
                <w:webHidden/>
              </w:rPr>
              <w:fldChar w:fldCharType="begin"/>
            </w:r>
            <w:r w:rsidR="000C0B9A">
              <w:rPr>
                <w:noProof/>
                <w:webHidden/>
              </w:rPr>
              <w:instrText xml:space="preserve"> PAGEREF _Toc516767128 \h </w:instrText>
            </w:r>
            <w:r w:rsidR="000C0B9A">
              <w:rPr>
                <w:noProof/>
                <w:webHidden/>
              </w:rPr>
            </w:r>
            <w:r w:rsidR="000C0B9A">
              <w:rPr>
                <w:noProof/>
                <w:webHidden/>
              </w:rPr>
              <w:fldChar w:fldCharType="separate"/>
            </w:r>
            <w:r w:rsidR="000C0B9A">
              <w:rPr>
                <w:noProof/>
                <w:webHidden/>
              </w:rPr>
              <w:t>3</w:t>
            </w:r>
            <w:r w:rsidR="000C0B9A">
              <w:rPr>
                <w:noProof/>
                <w:webHidden/>
              </w:rPr>
              <w:fldChar w:fldCharType="end"/>
            </w:r>
          </w:hyperlink>
        </w:p>
        <w:p w14:paraId="35F5993B" w14:textId="77777777" w:rsidR="000C0B9A" w:rsidRDefault="00845D5D">
          <w:pPr>
            <w:pStyle w:val="TOC2"/>
            <w:tabs>
              <w:tab w:val="right" w:leader="dot" w:pos="10070"/>
            </w:tabs>
            <w:rPr>
              <w:rFonts w:asciiTheme="minorHAnsi" w:eastAsiaTheme="minorEastAsia" w:hAnsiTheme="minorHAnsi" w:cstheme="minorBidi"/>
              <w:noProof/>
            </w:rPr>
          </w:pPr>
          <w:hyperlink w:anchor="_Toc516767129" w:history="1">
            <w:r w:rsidR="000C0B9A" w:rsidRPr="005B5488">
              <w:rPr>
                <w:rStyle w:val="Hyperlink"/>
                <w:rFonts w:eastAsia="Arial" w:cstheme="minorHAnsi"/>
                <w:noProof/>
              </w:rPr>
              <w:t>Student Workhour Policy</w:t>
            </w:r>
            <w:r w:rsidR="000C0B9A">
              <w:rPr>
                <w:noProof/>
                <w:webHidden/>
              </w:rPr>
              <w:tab/>
            </w:r>
            <w:r w:rsidR="000C0B9A">
              <w:rPr>
                <w:noProof/>
                <w:webHidden/>
              </w:rPr>
              <w:fldChar w:fldCharType="begin"/>
            </w:r>
            <w:r w:rsidR="000C0B9A">
              <w:rPr>
                <w:noProof/>
                <w:webHidden/>
              </w:rPr>
              <w:instrText xml:space="preserve"> PAGEREF _Toc516767129 \h </w:instrText>
            </w:r>
            <w:r w:rsidR="000C0B9A">
              <w:rPr>
                <w:noProof/>
                <w:webHidden/>
              </w:rPr>
            </w:r>
            <w:r w:rsidR="000C0B9A">
              <w:rPr>
                <w:noProof/>
                <w:webHidden/>
              </w:rPr>
              <w:fldChar w:fldCharType="separate"/>
            </w:r>
            <w:r w:rsidR="000C0B9A">
              <w:rPr>
                <w:noProof/>
                <w:webHidden/>
              </w:rPr>
              <w:t>4</w:t>
            </w:r>
            <w:r w:rsidR="000C0B9A">
              <w:rPr>
                <w:noProof/>
                <w:webHidden/>
              </w:rPr>
              <w:fldChar w:fldCharType="end"/>
            </w:r>
          </w:hyperlink>
        </w:p>
        <w:p w14:paraId="2A044560" w14:textId="77777777" w:rsidR="000C0B9A" w:rsidRDefault="00845D5D">
          <w:pPr>
            <w:pStyle w:val="TOC2"/>
            <w:tabs>
              <w:tab w:val="right" w:leader="dot" w:pos="10070"/>
            </w:tabs>
            <w:rPr>
              <w:rFonts w:asciiTheme="minorHAnsi" w:eastAsiaTheme="minorEastAsia" w:hAnsiTheme="minorHAnsi" w:cstheme="minorBidi"/>
              <w:noProof/>
            </w:rPr>
          </w:pPr>
          <w:hyperlink w:anchor="_Toc516767130" w:history="1">
            <w:r w:rsidR="000C0B9A" w:rsidRPr="005B5488">
              <w:rPr>
                <w:rStyle w:val="Hyperlink"/>
                <w:rFonts w:eastAsia="Arial" w:cstheme="minorHAnsi"/>
                <w:noProof/>
              </w:rPr>
              <w:t>Documentation of Workhours</w:t>
            </w:r>
            <w:r w:rsidR="000C0B9A">
              <w:rPr>
                <w:noProof/>
                <w:webHidden/>
              </w:rPr>
              <w:tab/>
            </w:r>
            <w:r w:rsidR="000C0B9A">
              <w:rPr>
                <w:noProof/>
                <w:webHidden/>
              </w:rPr>
              <w:fldChar w:fldCharType="begin"/>
            </w:r>
            <w:r w:rsidR="000C0B9A">
              <w:rPr>
                <w:noProof/>
                <w:webHidden/>
              </w:rPr>
              <w:instrText xml:space="preserve"> PAGEREF _Toc516767130 \h </w:instrText>
            </w:r>
            <w:r w:rsidR="000C0B9A">
              <w:rPr>
                <w:noProof/>
                <w:webHidden/>
              </w:rPr>
            </w:r>
            <w:r w:rsidR="000C0B9A">
              <w:rPr>
                <w:noProof/>
                <w:webHidden/>
              </w:rPr>
              <w:fldChar w:fldCharType="separate"/>
            </w:r>
            <w:r w:rsidR="000C0B9A">
              <w:rPr>
                <w:noProof/>
                <w:webHidden/>
              </w:rPr>
              <w:t>4</w:t>
            </w:r>
            <w:r w:rsidR="000C0B9A">
              <w:rPr>
                <w:noProof/>
                <w:webHidden/>
              </w:rPr>
              <w:fldChar w:fldCharType="end"/>
            </w:r>
          </w:hyperlink>
        </w:p>
        <w:p w14:paraId="00E63EA8" w14:textId="77777777" w:rsidR="000C0B9A" w:rsidRDefault="00845D5D">
          <w:pPr>
            <w:pStyle w:val="TOC2"/>
            <w:tabs>
              <w:tab w:val="right" w:leader="dot" w:pos="10070"/>
            </w:tabs>
            <w:rPr>
              <w:rFonts w:asciiTheme="minorHAnsi" w:eastAsiaTheme="minorEastAsia" w:hAnsiTheme="minorHAnsi" w:cstheme="minorBidi"/>
              <w:noProof/>
            </w:rPr>
          </w:pPr>
          <w:hyperlink w:anchor="_Toc516767131" w:history="1">
            <w:r w:rsidR="000C0B9A" w:rsidRPr="005B5488">
              <w:rPr>
                <w:rStyle w:val="Hyperlink"/>
                <w:noProof/>
              </w:rPr>
              <w:t>Project Submissions</w:t>
            </w:r>
            <w:r w:rsidR="000C0B9A">
              <w:rPr>
                <w:noProof/>
                <w:webHidden/>
              </w:rPr>
              <w:tab/>
            </w:r>
            <w:r w:rsidR="000C0B9A">
              <w:rPr>
                <w:noProof/>
                <w:webHidden/>
              </w:rPr>
              <w:fldChar w:fldCharType="begin"/>
            </w:r>
            <w:r w:rsidR="000C0B9A">
              <w:rPr>
                <w:noProof/>
                <w:webHidden/>
              </w:rPr>
              <w:instrText xml:space="preserve"> PAGEREF _Toc516767131 \h </w:instrText>
            </w:r>
            <w:r w:rsidR="000C0B9A">
              <w:rPr>
                <w:noProof/>
                <w:webHidden/>
              </w:rPr>
            </w:r>
            <w:r w:rsidR="000C0B9A">
              <w:rPr>
                <w:noProof/>
                <w:webHidden/>
              </w:rPr>
              <w:fldChar w:fldCharType="separate"/>
            </w:r>
            <w:r w:rsidR="000C0B9A">
              <w:rPr>
                <w:noProof/>
                <w:webHidden/>
              </w:rPr>
              <w:t>4</w:t>
            </w:r>
            <w:r w:rsidR="000C0B9A">
              <w:rPr>
                <w:noProof/>
                <w:webHidden/>
              </w:rPr>
              <w:fldChar w:fldCharType="end"/>
            </w:r>
          </w:hyperlink>
        </w:p>
        <w:p w14:paraId="1BFE7126" w14:textId="77777777" w:rsidR="000C0B9A" w:rsidRDefault="00845D5D">
          <w:pPr>
            <w:pStyle w:val="TOC3"/>
            <w:tabs>
              <w:tab w:val="right" w:leader="dot" w:pos="10070"/>
            </w:tabs>
            <w:rPr>
              <w:rFonts w:asciiTheme="minorHAnsi" w:eastAsiaTheme="minorEastAsia" w:hAnsiTheme="minorHAnsi" w:cstheme="minorBidi"/>
              <w:noProof/>
            </w:rPr>
          </w:pPr>
          <w:hyperlink w:anchor="_Toc516767132" w:history="1">
            <w:r w:rsidR="000C0B9A" w:rsidRPr="005B5488">
              <w:rPr>
                <w:rStyle w:val="Hyperlink"/>
                <w:noProof/>
              </w:rPr>
              <w:t>Internal Medicine, Family Medicine, Psychiatry, and Pediatrics</w:t>
            </w:r>
            <w:r w:rsidR="000C0B9A">
              <w:rPr>
                <w:noProof/>
                <w:webHidden/>
              </w:rPr>
              <w:tab/>
            </w:r>
            <w:r w:rsidR="000C0B9A">
              <w:rPr>
                <w:noProof/>
                <w:webHidden/>
              </w:rPr>
              <w:fldChar w:fldCharType="begin"/>
            </w:r>
            <w:r w:rsidR="000C0B9A">
              <w:rPr>
                <w:noProof/>
                <w:webHidden/>
              </w:rPr>
              <w:instrText xml:space="preserve"> PAGEREF _Toc516767132 \h </w:instrText>
            </w:r>
            <w:r w:rsidR="000C0B9A">
              <w:rPr>
                <w:noProof/>
                <w:webHidden/>
              </w:rPr>
            </w:r>
            <w:r w:rsidR="000C0B9A">
              <w:rPr>
                <w:noProof/>
                <w:webHidden/>
              </w:rPr>
              <w:fldChar w:fldCharType="separate"/>
            </w:r>
            <w:r w:rsidR="000C0B9A">
              <w:rPr>
                <w:noProof/>
                <w:webHidden/>
              </w:rPr>
              <w:t>4</w:t>
            </w:r>
            <w:r w:rsidR="000C0B9A">
              <w:rPr>
                <w:noProof/>
                <w:webHidden/>
              </w:rPr>
              <w:fldChar w:fldCharType="end"/>
            </w:r>
          </w:hyperlink>
        </w:p>
        <w:p w14:paraId="0B47888A" w14:textId="77777777" w:rsidR="000C0B9A" w:rsidRDefault="00845D5D">
          <w:pPr>
            <w:pStyle w:val="TOC3"/>
            <w:tabs>
              <w:tab w:val="right" w:leader="dot" w:pos="10070"/>
            </w:tabs>
            <w:rPr>
              <w:rFonts w:asciiTheme="minorHAnsi" w:eastAsiaTheme="minorEastAsia" w:hAnsiTheme="minorHAnsi" w:cstheme="minorBidi"/>
              <w:noProof/>
            </w:rPr>
          </w:pPr>
          <w:hyperlink w:anchor="_Toc516767133" w:history="1">
            <w:r w:rsidR="000C0B9A" w:rsidRPr="005B5488">
              <w:rPr>
                <w:rStyle w:val="Hyperlink"/>
                <w:noProof/>
              </w:rPr>
              <w:t>Surgery and OB/GYN</w:t>
            </w:r>
            <w:r w:rsidR="000C0B9A">
              <w:rPr>
                <w:noProof/>
                <w:webHidden/>
              </w:rPr>
              <w:tab/>
            </w:r>
            <w:r w:rsidR="000C0B9A">
              <w:rPr>
                <w:noProof/>
                <w:webHidden/>
              </w:rPr>
              <w:fldChar w:fldCharType="begin"/>
            </w:r>
            <w:r w:rsidR="000C0B9A">
              <w:rPr>
                <w:noProof/>
                <w:webHidden/>
              </w:rPr>
              <w:instrText xml:space="preserve"> PAGEREF _Toc516767133 \h </w:instrText>
            </w:r>
            <w:r w:rsidR="000C0B9A">
              <w:rPr>
                <w:noProof/>
                <w:webHidden/>
              </w:rPr>
            </w:r>
            <w:r w:rsidR="000C0B9A">
              <w:rPr>
                <w:noProof/>
                <w:webHidden/>
              </w:rPr>
              <w:fldChar w:fldCharType="separate"/>
            </w:r>
            <w:r w:rsidR="000C0B9A">
              <w:rPr>
                <w:noProof/>
                <w:webHidden/>
              </w:rPr>
              <w:t>4</w:t>
            </w:r>
            <w:r w:rsidR="000C0B9A">
              <w:rPr>
                <w:noProof/>
                <w:webHidden/>
              </w:rPr>
              <w:fldChar w:fldCharType="end"/>
            </w:r>
          </w:hyperlink>
        </w:p>
        <w:p w14:paraId="524DCAEB" w14:textId="77777777" w:rsidR="000C0B9A" w:rsidRDefault="00845D5D">
          <w:pPr>
            <w:pStyle w:val="TOC2"/>
            <w:tabs>
              <w:tab w:val="right" w:leader="dot" w:pos="10070"/>
            </w:tabs>
            <w:rPr>
              <w:rFonts w:asciiTheme="minorHAnsi" w:eastAsiaTheme="minorEastAsia" w:hAnsiTheme="minorHAnsi" w:cstheme="minorBidi"/>
              <w:noProof/>
            </w:rPr>
          </w:pPr>
          <w:hyperlink w:anchor="_Toc516767134" w:history="1">
            <w:r w:rsidR="000C0B9A" w:rsidRPr="005B5488">
              <w:rPr>
                <w:rStyle w:val="Hyperlink"/>
                <w:noProof/>
              </w:rPr>
              <w:t>NBME Clinical Subject Examinations</w:t>
            </w:r>
            <w:r w:rsidR="000C0B9A">
              <w:rPr>
                <w:noProof/>
                <w:webHidden/>
              </w:rPr>
              <w:tab/>
            </w:r>
            <w:r w:rsidR="000C0B9A">
              <w:rPr>
                <w:noProof/>
                <w:webHidden/>
              </w:rPr>
              <w:fldChar w:fldCharType="begin"/>
            </w:r>
            <w:r w:rsidR="000C0B9A">
              <w:rPr>
                <w:noProof/>
                <w:webHidden/>
              </w:rPr>
              <w:instrText xml:space="preserve"> PAGEREF _Toc516767134 \h </w:instrText>
            </w:r>
            <w:r w:rsidR="000C0B9A">
              <w:rPr>
                <w:noProof/>
                <w:webHidden/>
              </w:rPr>
            </w:r>
            <w:r w:rsidR="000C0B9A">
              <w:rPr>
                <w:noProof/>
                <w:webHidden/>
              </w:rPr>
              <w:fldChar w:fldCharType="separate"/>
            </w:r>
            <w:r w:rsidR="000C0B9A">
              <w:rPr>
                <w:noProof/>
                <w:webHidden/>
              </w:rPr>
              <w:t>4</w:t>
            </w:r>
            <w:r w:rsidR="000C0B9A">
              <w:rPr>
                <w:noProof/>
                <w:webHidden/>
              </w:rPr>
              <w:fldChar w:fldCharType="end"/>
            </w:r>
          </w:hyperlink>
        </w:p>
        <w:p w14:paraId="0D6E8515" w14:textId="77777777" w:rsidR="000C0B9A" w:rsidRDefault="00845D5D">
          <w:pPr>
            <w:pStyle w:val="TOC2"/>
            <w:tabs>
              <w:tab w:val="right" w:leader="dot" w:pos="10070"/>
            </w:tabs>
            <w:rPr>
              <w:rFonts w:asciiTheme="minorHAnsi" w:eastAsiaTheme="minorEastAsia" w:hAnsiTheme="minorHAnsi" w:cstheme="minorBidi"/>
              <w:noProof/>
            </w:rPr>
          </w:pPr>
          <w:hyperlink w:anchor="_Toc516767135" w:history="1">
            <w:r w:rsidR="000C0B9A" w:rsidRPr="005B5488">
              <w:rPr>
                <w:rStyle w:val="Hyperlink"/>
                <w:noProof/>
              </w:rPr>
              <w:t>NBME Practice Exams</w:t>
            </w:r>
            <w:r w:rsidR="000C0B9A">
              <w:rPr>
                <w:noProof/>
                <w:webHidden/>
              </w:rPr>
              <w:tab/>
            </w:r>
            <w:r w:rsidR="000C0B9A">
              <w:rPr>
                <w:noProof/>
                <w:webHidden/>
              </w:rPr>
              <w:fldChar w:fldCharType="begin"/>
            </w:r>
            <w:r w:rsidR="000C0B9A">
              <w:rPr>
                <w:noProof/>
                <w:webHidden/>
              </w:rPr>
              <w:instrText xml:space="preserve"> PAGEREF _Toc516767135 \h </w:instrText>
            </w:r>
            <w:r w:rsidR="000C0B9A">
              <w:rPr>
                <w:noProof/>
                <w:webHidden/>
              </w:rPr>
            </w:r>
            <w:r w:rsidR="000C0B9A">
              <w:rPr>
                <w:noProof/>
                <w:webHidden/>
              </w:rPr>
              <w:fldChar w:fldCharType="separate"/>
            </w:r>
            <w:r w:rsidR="000C0B9A">
              <w:rPr>
                <w:noProof/>
                <w:webHidden/>
              </w:rPr>
              <w:t>5</w:t>
            </w:r>
            <w:r w:rsidR="000C0B9A">
              <w:rPr>
                <w:noProof/>
                <w:webHidden/>
              </w:rPr>
              <w:fldChar w:fldCharType="end"/>
            </w:r>
          </w:hyperlink>
        </w:p>
        <w:p w14:paraId="63F44168" w14:textId="77777777" w:rsidR="000C0B9A" w:rsidRDefault="00845D5D">
          <w:pPr>
            <w:pStyle w:val="TOC2"/>
            <w:tabs>
              <w:tab w:val="right" w:leader="dot" w:pos="10070"/>
            </w:tabs>
            <w:rPr>
              <w:rFonts w:asciiTheme="minorHAnsi" w:eastAsiaTheme="minorEastAsia" w:hAnsiTheme="minorHAnsi" w:cstheme="minorBidi"/>
              <w:noProof/>
            </w:rPr>
          </w:pPr>
          <w:hyperlink w:anchor="_Toc516767136" w:history="1">
            <w:r w:rsidR="000C0B9A" w:rsidRPr="005B5488">
              <w:rPr>
                <w:rStyle w:val="Hyperlink"/>
                <w:noProof/>
              </w:rPr>
              <w:t>Grades</w:t>
            </w:r>
            <w:r w:rsidR="000C0B9A">
              <w:rPr>
                <w:noProof/>
                <w:webHidden/>
              </w:rPr>
              <w:tab/>
            </w:r>
            <w:r w:rsidR="000C0B9A">
              <w:rPr>
                <w:noProof/>
                <w:webHidden/>
              </w:rPr>
              <w:fldChar w:fldCharType="begin"/>
            </w:r>
            <w:r w:rsidR="000C0B9A">
              <w:rPr>
                <w:noProof/>
                <w:webHidden/>
              </w:rPr>
              <w:instrText xml:space="preserve"> PAGEREF _Toc516767136 \h </w:instrText>
            </w:r>
            <w:r w:rsidR="000C0B9A">
              <w:rPr>
                <w:noProof/>
                <w:webHidden/>
              </w:rPr>
            </w:r>
            <w:r w:rsidR="000C0B9A">
              <w:rPr>
                <w:noProof/>
                <w:webHidden/>
              </w:rPr>
              <w:fldChar w:fldCharType="separate"/>
            </w:r>
            <w:r w:rsidR="000C0B9A">
              <w:rPr>
                <w:noProof/>
                <w:webHidden/>
              </w:rPr>
              <w:t>5</w:t>
            </w:r>
            <w:r w:rsidR="000C0B9A">
              <w:rPr>
                <w:noProof/>
                <w:webHidden/>
              </w:rPr>
              <w:fldChar w:fldCharType="end"/>
            </w:r>
          </w:hyperlink>
        </w:p>
        <w:p w14:paraId="2C7E1743" w14:textId="77777777" w:rsidR="000C0B9A" w:rsidRDefault="00845D5D">
          <w:pPr>
            <w:pStyle w:val="TOC2"/>
            <w:tabs>
              <w:tab w:val="right" w:leader="dot" w:pos="10070"/>
            </w:tabs>
            <w:rPr>
              <w:rFonts w:asciiTheme="minorHAnsi" w:eastAsiaTheme="minorEastAsia" w:hAnsiTheme="minorHAnsi" w:cstheme="minorBidi"/>
              <w:noProof/>
            </w:rPr>
          </w:pPr>
          <w:hyperlink w:anchor="_Toc516767137" w:history="1">
            <w:r w:rsidR="000C0B9A" w:rsidRPr="005B5488">
              <w:rPr>
                <w:rStyle w:val="Hyperlink"/>
                <w:noProof/>
              </w:rPr>
              <w:t>Doctoring 3/Longitudinal</w:t>
            </w:r>
            <w:r w:rsidR="000C0B9A">
              <w:rPr>
                <w:noProof/>
                <w:webHidden/>
              </w:rPr>
              <w:tab/>
            </w:r>
            <w:r w:rsidR="000C0B9A">
              <w:rPr>
                <w:noProof/>
                <w:webHidden/>
              </w:rPr>
              <w:fldChar w:fldCharType="begin"/>
            </w:r>
            <w:r w:rsidR="000C0B9A">
              <w:rPr>
                <w:noProof/>
                <w:webHidden/>
              </w:rPr>
              <w:instrText xml:space="preserve"> PAGEREF _Toc516767137 \h </w:instrText>
            </w:r>
            <w:r w:rsidR="000C0B9A">
              <w:rPr>
                <w:noProof/>
                <w:webHidden/>
              </w:rPr>
            </w:r>
            <w:r w:rsidR="000C0B9A">
              <w:rPr>
                <w:noProof/>
                <w:webHidden/>
              </w:rPr>
              <w:fldChar w:fldCharType="separate"/>
            </w:r>
            <w:r w:rsidR="000C0B9A">
              <w:rPr>
                <w:noProof/>
                <w:webHidden/>
              </w:rPr>
              <w:t>5</w:t>
            </w:r>
            <w:r w:rsidR="000C0B9A">
              <w:rPr>
                <w:noProof/>
                <w:webHidden/>
              </w:rPr>
              <w:fldChar w:fldCharType="end"/>
            </w:r>
          </w:hyperlink>
        </w:p>
        <w:p w14:paraId="7C4F2F11" w14:textId="77777777" w:rsidR="000C0B9A" w:rsidRDefault="00845D5D">
          <w:pPr>
            <w:pStyle w:val="TOC2"/>
            <w:tabs>
              <w:tab w:val="right" w:leader="dot" w:pos="10070"/>
            </w:tabs>
            <w:rPr>
              <w:rFonts w:asciiTheme="minorHAnsi" w:eastAsiaTheme="minorEastAsia" w:hAnsiTheme="minorHAnsi" w:cstheme="minorBidi"/>
              <w:noProof/>
            </w:rPr>
          </w:pPr>
          <w:hyperlink w:anchor="_Toc516767138" w:history="1">
            <w:r w:rsidR="000C0B9A" w:rsidRPr="005B5488">
              <w:rPr>
                <w:rStyle w:val="Hyperlink"/>
                <w:noProof/>
              </w:rPr>
              <w:t>Community Medicine</w:t>
            </w:r>
            <w:r w:rsidR="000C0B9A">
              <w:rPr>
                <w:noProof/>
                <w:webHidden/>
              </w:rPr>
              <w:tab/>
            </w:r>
            <w:r w:rsidR="000C0B9A">
              <w:rPr>
                <w:noProof/>
                <w:webHidden/>
              </w:rPr>
              <w:fldChar w:fldCharType="begin"/>
            </w:r>
            <w:r w:rsidR="000C0B9A">
              <w:rPr>
                <w:noProof/>
                <w:webHidden/>
              </w:rPr>
              <w:instrText xml:space="preserve"> PAGEREF _Toc516767138 \h </w:instrText>
            </w:r>
            <w:r w:rsidR="000C0B9A">
              <w:rPr>
                <w:noProof/>
                <w:webHidden/>
              </w:rPr>
            </w:r>
            <w:r w:rsidR="000C0B9A">
              <w:rPr>
                <w:noProof/>
                <w:webHidden/>
              </w:rPr>
              <w:fldChar w:fldCharType="separate"/>
            </w:r>
            <w:r w:rsidR="000C0B9A">
              <w:rPr>
                <w:noProof/>
                <w:webHidden/>
              </w:rPr>
              <w:t>5</w:t>
            </w:r>
            <w:r w:rsidR="000C0B9A">
              <w:rPr>
                <w:noProof/>
                <w:webHidden/>
              </w:rPr>
              <w:fldChar w:fldCharType="end"/>
            </w:r>
          </w:hyperlink>
        </w:p>
        <w:p w14:paraId="04CD9531" w14:textId="77777777" w:rsidR="000C0B9A" w:rsidRDefault="00845D5D">
          <w:pPr>
            <w:pStyle w:val="TOC2"/>
            <w:tabs>
              <w:tab w:val="right" w:leader="dot" w:pos="10070"/>
            </w:tabs>
            <w:rPr>
              <w:rFonts w:asciiTheme="minorHAnsi" w:eastAsiaTheme="minorEastAsia" w:hAnsiTheme="minorHAnsi" w:cstheme="minorBidi"/>
              <w:noProof/>
            </w:rPr>
          </w:pPr>
          <w:hyperlink w:anchor="_Toc516767139" w:history="1">
            <w:r w:rsidR="000C0B9A" w:rsidRPr="005B5488">
              <w:rPr>
                <w:rStyle w:val="Hyperlink"/>
                <w:noProof/>
              </w:rPr>
              <w:t>White Space</w:t>
            </w:r>
            <w:r w:rsidR="000C0B9A">
              <w:rPr>
                <w:noProof/>
                <w:webHidden/>
              </w:rPr>
              <w:tab/>
            </w:r>
            <w:r w:rsidR="000C0B9A">
              <w:rPr>
                <w:noProof/>
                <w:webHidden/>
              </w:rPr>
              <w:fldChar w:fldCharType="begin"/>
            </w:r>
            <w:r w:rsidR="000C0B9A">
              <w:rPr>
                <w:noProof/>
                <w:webHidden/>
              </w:rPr>
              <w:instrText xml:space="preserve"> PAGEREF _Toc516767139 \h </w:instrText>
            </w:r>
            <w:r w:rsidR="000C0B9A">
              <w:rPr>
                <w:noProof/>
                <w:webHidden/>
              </w:rPr>
            </w:r>
            <w:r w:rsidR="000C0B9A">
              <w:rPr>
                <w:noProof/>
                <w:webHidden/>
              </w:rPr>
              <w:fldChar w:fldCharType="separate"/>
            </w:r>
            <w:r w:rsidR="000C0B9A">
              <w:rPr>
                <w:noProof/>
                <w:webHidden/>
              </w:rPr>
              <w:t>5</w:t>
            </w:r>
            <w:r w:rsidR="000C0B9A">
              <w:rPr>
                <w:noProof/>
                <w:webHidden/>
              </w:rPr>
              <w:fldChar w:fldCharType="end"/>
            </w:r>
          </w:hyperlink>
        </w:p>
        <w:p w14:paraId="5DE12F92" w14:textId="77777777" w:rsidR="000C0B9A" w:rsidRDefault="00845D5D">
          <w:pPr>
            <w:pStyle w:val="TOC2"/>
            <w:tabs>
              <w:tab w:val="right" w:leader="dot" w:pos="10070"/>
            </w:tabs>
            <w:rPr>
              <w:rFonts w:asciiTheme="minorHAnsi" w:eastAsiaTheme="minorEastAsia" w:hAnsiTheme="minorHAnsi" w:cstheme="minorBidi"/>
              <w:noProof/>
            </w:rPr>
          </w:pPr>
          <w:hyperlink w:anchor="_Toc516767140" w:history="1">
            <w:r w:rsidR="000C0B9A" w:rsidRPr="005B5488">
              <w:rPr>
                <w:rStyle w:val="Hyperlink"/>
                <w:noProof/>
              </w:rPr>
              <w:t>White Space on Surgery and OB/GYN Operative Days</w:t>
            </w:r>
            <w:r w:rsidR="000C0B9A">
              <w:rPr>
                <w:noProof/>
                <w:webHidden/>
              </w:rPr>
              <w:tab/>
            </w:r>
            <w:r w:rsidR="000C0B9A">
              <w:rPr>
                <w:noProof/>
                <w:webHidden/>
              </w:rPr>
              <w:fldChar w:fldCharType="begin"/>
            </w:r>
            <w:r w:rsidR="000C0B9A">
              <w:rPr>
                <w:noProof/>
                <w:webHidden/>
              </w:rPr>
              <w:instrText xml:space="preserve"> PAGEREF _Toc516767140 \h </w:instrText>
            </w:r>
            <w:r w:rsidR="000C0B9A">
              <w:rPr>
                <w:noProof/>
                <w:webHidden/>
              </w:rPr>
            </w:r>
            <w:r w:rsidR="000C0B9A">
              <w:rPr>
                <w:noProof/>
                <w:webHidden/>
              </w:rPr>
              <w:fldChar w:fldCharType="separate"/>
            </w:r>
            <w:r w:rsidR="000C0B9A">
              <w:rPr>
                <w:noProof/>
                <w:webHidden/>
              </w:rPr>
              <w:t>6</w:t>
            </w:r>
            <w:r w:rsidR="000C0B9A">
              <w:rPr>
                <w:noProof/>
                <w:webHidden/>
              </w:rPr>
              <w:fldChar w:fldCharType="end"/>
            </w:r>
          </w:hyperlink>
        </w:p>
        <w:p w14:paraId="22EAEBC7" w14:textId="77777777" w:rsidR="000C0B9A" w:rsidRDefault="00845D5D">
          <w:pPr>
            <w:pStyle w:val="TOC2"/>
            <w:tabs>
              <w:tab w:val="right" w:leader="dot" w:pos="10070"/>
            </w:tabs>
            <w:rPr>
              <w:rFonts w:asciiTheme="minorHAnsi" w:eastAsiaTheme="minorEastAsia" w:hAnsiTheme="minorHAnsi" w:cstheme="minorBidi"/>
              <w:noProof/>
            </w:rPr>
          </w:pPr>
          <w:hyperlink w:anchor="_Toc516767141" w:history="1">
            <w:r w:rsidR="000C0B9A" w:rsidRPr="005B5488">
              <w:rPr>
                <w:rStyle w:val="Hyperlink"/>
                <w:noProof/>
              </w:rPr>
              <w:t>LIC Bootcamp</w:t>
            </w:r>
            <w:r w:rsidR="000C0B9A">
              <w:rPr>
                <w:noProof/>
                <w:webHidden/>
              </w:rPr>
              <w:tab/>
            </w:r>
            <w:r w:rsidR="000C0B9A">
              <w:rPr>
                <w:noProof/>
                <w:webHidden/>
              </w:rPr>
              <w:fldChar w:fldCharType="begin"/>
            </w:r>
            <w:r w:rsidR="000C0B9A">
              <w:rPr>
                <w:noProof/>
                <w:webHidden/>
              </w:rPr>
              <w:instrText xml:space="preserve"> PAGEREF _Toc516767141 \h </w:instrText>
            </w:r>
            <w:r w:rsidR="000C0B9A">
              <w:rPr>
                <w:noProof/>
                <w:webHidden/>
              </w:rPr>
            </w:r>
            <w:r w:rsidR="000C0B9A">
              <w:rPr>
                <w:noProof/>
                <w:webHidden/>
              </w:rPr>
              <w:fldChar w:fldCharType="separate"/>
            </w:r>
            <w:r w:rsidR="000C0B9A">
              <w:rPr>
                <w:noProof/>
                <w:webHidden/>
              </w:rPr>
              <w:t>6</w:t>
            </w:r>
            <w:r w:rsidR="000C0B9A">
              <w:rPr>
                <w:noProof/>
                <w:webHidden/>
              </w:rPr>
              <w:fldChar w:fldCharType="end"/>
            </w:r>
          </w:hyperlink>
        </w:p>
        <w:p w14:paraId="2963EED0" w14:textId="77777777" w:rsidR="000C0B9A" w:rsidRDefault="00845D5D">
          <w:pPr>
            <w:pStyle w:val="TOC2"/>
            <w:tabs>
              <w:tab w:val="right" w:leader="dot" w:pos="10070"/>
            </w:tabs>
            <w:rPr>
              <w:rFonts w:asciiTheme="minorHAnsi" w:eastAsiaTheme="minorEastAsia" w:hAnsiTheme="minorHAnsi" w:cstheme="minorBidi"/>
              <w:noProof/>
            </w:rPr>
          </w:pPr>
          <w:hyperlink w:anchor="_Toc516767142" w:history="1">
            <w:r w:rsidR="000C0B9A" w:rsidRPr="005B5488">
              <w:rPr>
                <w:rStyle w:val="Hyperlink"/>
                <w:noProof/>
              </w:rPr>
              <w:t>Flextime Electives</w:t>
            </w:r>
            <w:r w:rsidR="000C0B9A">
              <w:rPr>
                <w:noProof/>
                <w:webHidden/>
              </w:rPr>
              <w:tab/>
            </w:r>
            <w:r w:rsidR="000C0B9A">
              <w:rPr>
                <w:noProof/>
                <w:webHidden/>
              </w:rPr>
              <w:fldChar w:fldCharType="begin"/>
            </w:r>
            <w:r w:rsidR="000C0B9A">
              <w:rPr>
                <w:noProof/>
                <w:webHidden/>
              </w:rPr>
              <w:instrText xml:space="preserve"> PAGEREF _Toc516767142 \h </w:instrText>
            </w:r>
            <w:r w:rsidR="000C0B9A">
              <w:rPr>
                <w:noProof/>
                <w:webHidden/>
              </w:rPr>
            </w:r>
            <w:r w:rsidR="000C0B9A">
              <w:rPr>
                <w:noProof/>
                <w:webHidden/>
              </w:rPr>
              <w:fldChar w:fldCharType="separate"/>
            </w:r>
            <w:r w:rsidR="000C0B9A">
              <w:rPr>
                <w:noProof/>
                <w:webHidden/>
              </w:rPr>
              <w:t>6</w:t>
            </w:r>
            <w:r w:rsidR="000C0B9A">
              <w:rPr>
                <w:noProof/>
                <w:webHidden/>
              </w:rPr>
              <w:fldChar w:fldCharType="end"/>
            </w:r>
          </w:hyperlink>
        </w:p>
        <w:p w14:paraId="79CD59E8" w14:textId="77777777" w:rsidR="000C0B9A" w:rsidRDefault="00845D5D">
          <w:pPr>
            <w:pStyle w:val="TOC2"/>
            <w:tabs>
              <w:tab w:val="right" w:leader="dot" w:pos="10070"/>
            </w:tabs>
            <w:rPr>
              <w:rFonts w:asciiTheme="minorHAnsi" w:eastAsiaTheme="minorEastAsia" w:hAnsiTheme="minorHAnsi" w:cstheme="minorBidi"/>
              <w:noProof/>
            </w:rPr>
          </w:pPr>
          <w:hyperlink w:anchor="_Toc516767143" w:history="1">
            <w:r w:rsidR="000C0B9A" w:rsidRPr="005B5488">
              <w:rPr>
                <w:rStyle w:val="Hyperlink"/>
                <w:noProof/>
              </w:rPr>
              <w:t>Transition to M4 Year Regional Campuses</w:t>
            </w:r>
            <w:r w:rsidR="000C0B9A">
              <w:rPr>
                <w:noProof/>
                <w:webHidden/>
              </w:rPr>
              <w:tab/>
            </w:r>
            <w:r w:rsidR="000C0B9A">
              <w:rPr>
                <w:noProof/>
                <w:webHidden/>
              </w:rPr>
              <w:fldChar w:fldCharType="begin"/>
            </w:r>
            <w:r w:rsidR="000C0B9A">
              <w:rPr>
                <w:noProof/>
                <w:webHidden/>
              </w:rPr>
              <w:instrText xml:space="preserve"> PAGEREF _Toc516767143 \h </w:instrText>
            </w:r>
            <w:r w:rsidR="000C0B9A">
              <w:rPr>
                <w:noProof/>
                <w:webHidden/>
              </w:rPr>
            </w:r>
            <w:r w:rsidR="000C0B9A">
              <w:rPr>
                <w:noProof/>
                <w:webHidden/>
              </w:rPr>
              <w:fldChar w:fldCharType="separate"/>
            </w:r>
            <w:r w:rsidR="000C0B9A">
              <w:rPr>
                <w:noProof/>
                <w:webHidden/>
              </w:rPr>
              <w:t>7</w:t>
            </w:r>
            <w:r w:rsidR="000C0B9A">
              <w:rPr>
                <w:noProof/>
                <w:webHidden/>
              </w:rPr>
              <w:fldChar w:fldCharType="end"/>
            </w:r>
          </w:hyperlink>
        </w:p>
        <w:p w14:paraId="55FF09E6" w14:textId="77777777" w:rsidR="000C0B9A" w:rsidRDefault="00845D5D">
          <w:pPr>
            <w:pStyle w:val="TOC2"/>
            <w:tabs>
              <w:tab w:val="right" w:leader="dot" w:pos="10070"/>
            </w:tabs>
            <w:rPr>
              <w:rFonts w:asciiTheme="minorHAnsi" w:eastAsiaTheme="minorEastAsia" w:hAnsiTheme="minorHAnsi" w:cstheme="minorBidi"/>
              <w:noProof/>
            </w:rPr>
          </w:pPr>
          <w:hyperlink w:anchor="_Toc516767144" w:history="1">
            <w:r w:rsidR="000C0B9A" w:rsidRPr="005B5488">
              <w:rPr>
                <w:rStyle w:val="Hyperlink"/>
                <w:noProof/>
              </w:rPr>
              <w:t>Family Medicine Aquifer Exam</w:t>
            </w:r>
            <w:r w:rsidR="000C0B9A">
              <w:rPr>
                <w:noProof/>
                <w:webHidden/>
              </w:rPr>
              <w:tab/>
            </w:r>
            <w:r w:rsidR="000C0B9A">
              <w:rPr>
                <w:noProof/>
                <w:webHidden/>
              </w:rPr>
              <w:fldChar w:fldCharType="begin"/>
            </w:r>
            <w:r w:rsidR="000C0B9A">
              <w:rPr>
                <w:noProof/>
                <w:webHidden/>
              </w:rPr>
              <w:instrText xml:space="preserve"> PAGEREF _Toc516767144 \h </w:instrText>
            </w:r>
            <w:r w:rsidR="000C0B9A">
              <w:rPr>
                <w:noProof/>
                <w:webHidden/>
              </w:rPr>
            </w:r>
            <w:r w:rsidR="000C0B9A">
              <w:rPr>
                <w:noProof/>
                <w:webHidden/>
              </w:rPr>
              <w:fldChar w:fldCharType="separate"/>
            </w:r>
            <w:r w:rsidR="000C0B9A">
              <w:rPr>
                <w:noProof/>
                <w:webHidden/>
              </w:rPr>
              <w:t>8</w:t>
            </w:r>
            <w:r w:rsidR="000C0B9A">
              <w:rPr>
                <w:noProof/>
                <w:webHidden/>
              </w:rPr>
              <w:fldChar w:fldCharType="end"/>
            </w:r>
          </w:hyperlink>
        </w:p>
        <w:p w14:paraId="342B96B2" w14:textId="77777777" w:rsidR="000C0B9A" w:rsidRDefault="00845D5D">
          <w:pPr>
            <w:pStyle w:val="TOC2"/>
            <w:tabs>
              <w:tab w:val="right" w:leader="dot" w:pos="10070"/>
            </w:tabs>
            <w:rPr>
              <w:rFonts w:asciiTheme="minorHAnsi" w:eastAsiaTheme="minorEastAsia" w:hAnsiTheme="minorHAnsi" w:cstheme="minorBidi"/>
              <w:noProof/>
            </w:rPr>
          </w:pPr>
          <w:hyperlink w:anchor="_Toc516767145" w:history="1">
            <w:r w:rsidR="000C0B9A" w:rsidRPr="005B5488">
              <w:rPr>
                <w:rStyle w:val="Hyperlink"/>
                <w:noProof/>
              </w:rPr>
              <w:t>Geriatrics</w:t>
            </w:r>
            <w:r w:rsidR="000C0B9A">
              <w:rPr>
                <w:noProof/>
                <w:webHidden/>
              </w:rPr>
              <w:tab/>
            </w:r>
            <w:r w:rsidR="000C0B9A">
              <w:rPr>
                <w:noProof/>
                <w:webHidden/>
              </w:rPr>
              <w:fldChar w:fldCharType="begin"/>
            </w:r>
            <w:r w:rsidR="000C0B9A">
              <w:rPr>
                <w:noProof/>
                <w:webHidden/>
              </w:rPr>
              <w:instrText xml:space="preserve"> PAGEREF _Toc516767145 \h </w:instrText>
            </w:r>
            <w:r w:rsidR="000C0B9A">
              <w:rPr>
                <w:noProof/>
                <w:webHidden/>
              </w:rPr>
            </w:r>
            <w:r w:rsidR="000C0B9A">
              <w:rPr>
                <w:noProof/>
                <w:webHidden/>
              </w:rPr>
              <w:fldChar w:fldCharType="separate"/>
            </w:r>
            <w:r w:rsidR="000C0B9A">
              <w:rPr>
                <w:noProof/>
                <w:webHidden/>
              </w:rPr>
              <w:t>8</w:t>
            </w:r>
            <w:r w:rsidR="000C0B9A">
              <w:rPr>
                <w:noProof/>
                <w:webHidden/>
              </w:rPr>
              <w:fldChar w:fldCharType="end"/>
            </w:r>
          </w:hyperlink>
        </w:p>
        <w:p w14:paraId="6519007E" w14:textId="77777777" w:rsidR="00F60925" w:rsidRDefault="00F60925" w:rsidP="00F60925">
          <w:r w:rsidRPr="003B4844">
            <w:rPr>
              <w:rFonts w:asciiTheme="minorHAnsi" w:hAnsiTheme="minorHAnsi"/>
              <w:b/>
              <w:bCs/>
              <w:noProof/>
              <w:sz w:val="28"/>
              <w:szCs w:val="28"/>
            </w:rPr>
            <w:fldChar w:fldCharType="end"/>
          </w:r>
        </w:p>
      </w:sdtContent>
    </w:sdt>
    <w:p w14:paraId="6519007F" w14:textId="77777777" w:rsidR="005B338A" w:rsidRDefault="005B338A" w:rsidP="00F60925">
      <w:pPr>
        <w:spacing w:after="160"/>
        <w:rPr>
          <w:sz w:val="20"/>
          <w:szCs w:val="20"/>
        </w:rPr>
      </w:pPr>
      <w:r>
        <w:rPr>
          <w:sz w:val="20"/>
          <w:szCs w:val="20"/>
        </w:rPr>
        <w:br w:type="page"/>
      </w:r>
    </w:p>
    <w:p w14:paraId="65190080" w14:textId="77777777" w:rsidR="008C5508" w:rsidRDefault="008C5508" w:rsidP="008C5508">
      <w:pPr>
        <w:pStyle w:val="NoSpacing"/>
        <w:rPr>
          <w:rStyle w:val="Heading2Char"/>
        </w:rPr>
      </w:pPr>
      <w:bookmarkStart w:id="1" w:name="_Toc516767124"/>
      <w:r w:rsidRPr="008C5508">
        <w:rPr>
          <w:rStyle w:val="Heading2Char"/>
        </w:rPr>
        <w:lastRenderedPageBreak/>
        <w:t>Introduction</w:t>
      </w:r>
      <w:bookmarkEnd w:id="1"/>
    </w:p>
    <w:p w14:paraId="65190081" w14:textId="77777777" w:rsidR="008C5508" w:rsidRPr="008C5508" w:rsidRDefault="008C5508" w:rsidP="008C5508">
      <w:pPr>
        <w:pStyle w:val="NoSpacing"/>
      </w:pPr>
      <w:r w:rsidRPr="008C5508">
        <w:t xml:space="preserve">Students participating in the 6 core clerkships, Community Medicine, Doctoring 3 and </w:t>
      </w:r>
      <w:r w:rsidR="009F0258">
        <w:t>flextime</w:t>
      </w:r>
      <w:r w:rsidRPr="008C5508">
        <w:t xml:space="preserve"> </w:t>
      </w:r>
      <w:r w:rsidR="009F0258">
        <w:t>e</w:t>
      </w:r>
      <w:r w:rsidRPr="008C5508">
        <w:t>lectives, as part of the Longitudinal Integrated Curriculum (LIC) are expected to master the same content and complete the same activities as students participating in traditional block clerkships. The primary differences are in clerkship logistics and deadlines, as outlined in this document.</w:t>
      </w:r>
    </w:p>
    <w:p w14:paraId="65190082" w14:textId="77777777" w:rsidR="00AB0D0D" w:rsidRDefault="002C25D9" w:rsidP="00F60925">
      <w:pPr>
        <w:pStyle w:val="Default"/>
        <w:rPr>
          <w:sz w:val="23"/>
          <w:szCs w:val="23"/>
        </w:rPr>
      </w:pPr>
      <w:r w:rsidRPr="002C25D9">
        <w:rPr>
          <w:noProof/>
        </w:rPr>
        <w:drawing>
          <wp:inline distT="0" distB="0" distL="0" distR="0" wp14:anchorId="651900D5" wp14:editId="651900D6">
            <wp:extent cx="6445947" cy="143918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45947" cy="1439186"/>
                    </a:xfrm>
                    <a:prstGeom prst="rect">
                      <a:avLst/>
                    </a:prstGeom>
                    <a:noFill/>
                    <a:ln>
                      <a:noFill/>
                    </a:ln>
                  </pic:spPr>
                </pic:pic>
              </a:graphicData>
            </a:graphic>
          </wp:inline>
        </w:drawing>
      </w:r>
    </w:p>
    <w:p w14:paraId="65190083" w14:textId="77777777" w:rsidR="00415928" w:rsidRPr="00571C57" w:rsidRDefault="001210CD" w:rsidP="00571C57">
      <w:pPr>
        <w:pStyle w:val="Heading2"/>
        <w:rPr>
          <w:rStyle w:val="Heading2Char"/>
          <w:b/>
          <w:i/>
        </w:rPr>
      </w:pPr>
      <w:bookmarkStart w:id="2" w:name="_Toc516767125"/>
      <w:r w:rsidRPr="00571C57">
        <w:rPr>
          <w:rStyle w:val="Heading2Char"/>
          <w:b/>
          <w:i/>
        </w:rPr>
        <w:t>LIC Basics</w:t>
      </w:r>
      <w:bookmarkEnd w:id="2"/>
    </w:p>
    <w:p w14:paraId="65190084" w14:textId="77777777" w:rsidR="00AD6205" w:rsidRPr="00731155" w:rsidRDefault="001210CD" w:rsidP="008C5508">
      <w:pPr>
        <w:pStyle w:val="NoSpacing"/>
        <w:rPr>
          <w:b/>
          <w:u w:val="single"/>
        </w:rPr>
      </w:pPr>
      <w:r>
        <w:t>The Marianna LIC is designed to provide M3 students an equi</w:t>
      </w:r>
      <w:r w:rsidR="008F5348">
        <w:t>valent educational experience to</w:t>
      </w:r>
      <w:r>
        <w:t xml:space="preserve"> the traditional block clerkship model, but </w:t>
      </w:r>
      <w:r w:rsidR="002433DC">
        <w:t>deliver it in a style that lends itself</w:t>
      </w:r>
      <w:r>
        <w:t xml:space="preserve"> to more continuity over time with both patients, and faculty.</w:t>
      </w:r>
      <w:r w:rsidR="00C54EA4">
        <w:t xml:space="preserve"> </w:t>
      </w:r>
      <w:r w:rsidRPr="0040673B">
        <w:rPr>
          <w:b/>
        </w:rPr>
        <w:t xml:space="preserve">The LIC Academic Year is split into </w:t>
      </w:r>
      <w:r w:rsidRPr="0040673B">
        <w:rPr>
          <w:b/>
        </w:rPr>
        <w:lastRenderedPageBreak/>
        <w:t>two semes</w:t>
      </w:r>
      <w:r w:rsidR="00CA3E5C" w:rsidRPr="0040673B">
        <w:rPr>
          <w:b/>
        </w:rPr>
        <w:t>ters</w:t>
      </w:r>
      <w:r w:rsidR="0005319D">
        <w:rPr>
          <w:b/>
        </w:rPr>
        <w:t xml:space="preserve"> </w:t>
      </w:r>
      <w:r w:rsidR="0005319D" w:rsidRPr="0005319D">
        <w:t>for the purpose of the longitudinal integrated clerkship</w:t>
      </w:r>
      <w:r w:rsidR="00CA3E5C" w:rsidRPr="0005319D">
        <w:t>.</w:t>
      </w:r>
      <w:r w:rsidR="00C54EA4" w:rsidRPr="0005319D">
        <w:t xml:space="preserve"> </w:t>
      </w:r>
      <w:r w:rsidR="00CA3E5C" w:rsidRPr="0005319D">
        <w:t>The First Semester</w:t>
      </w:r>
      <w:r w:rsidR="00635402" w:rsidRPr="0005319D">
        <w:t xml:space="preserve"> will run from </w:t>
      </w:r>
      <w:r w:rsidR="00ED546B" w:rsidRPr="0005319D">
        <w:t>Mid-June</w:t>
      </w:r>
      <w:r w:rsidR="001B3E58" w:rsidRPr="0005319D">
        <w:t xml:space="preserve"> through </w:t>
      </w:r>
      <w:r w:rsidR="00ED546B" w:rsidRPr="0005319D">
        <w:t>Mid-October</w:t>
      </w:r>
      <w:r w:rsidR="00CA3E5C" w:rsidRPr="0005319D">
        <w:t>.</w:t>
      </w:r>
      <w:r w:rsidR="00C54EA4" w:rsidRPr="0005319D">
        <w:t xml:space="preserve"> </w:t>
      </w:r>
      <w:r w:rsidR="00CA3E5C" w:rsidRPr="0005319D">
        <w:t xml:space="preserve">The Second Semester </w:t>
      </w:r>
      <w:r w:rsidR="001B3E58" w:rsidRPr="0005319D">
        <w:t xml:space="preserve">will run from </w:t>
      </w:r>
      <w:r w:rsidR="00C43C7A" w:rsidRPr="0005319D">
        <w:t>M</w:t>
      </w:r>
      <w:r w:rsidR="00ED546B" w:rsidRPr="0005319D">
        <w:t>id-November</w:t>
      </w:r>
      <w:r w:rsidRPr="0005319D">
        <w:t xml:space="preserve"> </w:t>
      </w:r>
      <w:r w:rsidR="008F5348" w:rsidRPr="0005319D">
        <w:t>th</w:t>
      </w:r>
      <w:r w:rsidRPr="0005319D">
        <w:t>rough the end of March.</w:t>
      </w:r>
      <w:r w:rsidR="00C54EA4" w:rsidRPr="0005319D">
        <w:t xml:space="preserve"> </w:t>
      </w:r>
      <w:r w:rsidRPr="0005319D">
        <w:t>Co</w:t>
      </w:r>
      <w:r>
        <w:t>mmunit</w:t>
      </w:r>
      <w:r w:rsidR="001B3E58">
        <w:t xml:space="preserve">y </w:t>
      </w:r>
      <w:r w:rsidR="00DB4F57">
        <w:t>Medicine will be included in a 2</w:t>
      </w:r>
      <w:r w:rsidR="001B3E58">
        <w:t xml:space="preserve"> week block prior to the start of the</w:t>
      </w:r>
      <w:r w:rsidR="00CA3E5C">
        <w:t xml:space="preserve"> First</w:t>
      </w:r>
      <w:r>
        <w:t xml:space="preserve"> Semester.</w:t>
      </w:r>
      <w:r w:rsidR="00C54EA4">
        <w:t xml:space="preserve"> </w:t>
      </w:r>
      <w:r>
        <w:t xml:space="preserve">The </w:t>
      </w:r>
      <w:r w:rsidR="001B3E58">
        <w:t xml:space="preserve">first </w:t>
      </w:r>
      <w:r w:rsidR="009F0258">
        <w:t>flextime</w:t>
      </w:r>
      <w:r>
        <w:t xml:space="preserve"> </w:t>
      </w:r>
      <w:r w:rsidR="009F0258">
        <w:t>e</w:t>
      </w:r>
      <w:r>
        <w:t xml:space="preserve">lective (discussed in detail below) will </w:t>
      </w:r>
      <w:r w:rsidR="008F5348">
        <w:t>be de</w:t>
      </w:r>
      <w:r w:rsidR="002433DC">
        <w:t xml:space="preserve">livered in </w:t>
      </w:r>
      <w:r w:rsidR="00AE1C04">
        <w:t xml:space="preserve">a </w:t>
      </w:r>
      <w:r w:rsidR="002433DC">
        <w:t>block fa</w:t>
      </w:r>
      <w:r w:rsidR="001B3E58">
        <w:t>shion upon completion of the first semester, and the second upon completion</w:t>
      </w:r>
      <w:r w:rsidR="0005319D">
        <w:t xml:space="preserve"> of the second semester.</w:t>
      </w:r>
    </w:p>
    <w:p w14:paraId="65190085" w14:textId="77777777" w:rsidR="00415928" w:rsidRPr="00C54EA4" w:rsidRDefault="008F5348" w:rsidP="00571C57">
      <w:pPr>
        <w:pStyle w:val="Heading2"/>
        <w:rPr>
          <w:rStyle w:val="Heading2Char"/>
          <w:b/>
          <w:i/>
        </w:rPr>
      </w:pPr>
      <w:bookmarkStart w:id="3" w:name="_Toc516767126"/>
      <w:r w:rsidRPr="00C54EA4">
        <w:rPr>
          <w:rStyle w:val="Heading2Char"/>
          <w:b/>
          <w:i/>
        </w:rPr>
        <w:t>Length of Clerkships</w:t>
      </w:r>
      <w:bookmarkEnd w:id="3"/>
    </w:p>
    <w:p w14:paraId="65190086" w14:textId="77777777" w:rsidR="00AD6205" w:rsidRPr="00731155" w:rsidRDefault="00AD6205" w:rsidP="008C5508">
      <w:pPr>
        <w:pStyle w:val="NoSpacing"/>
        <w:rPr>
          <w:b/>
          <w:u w:val="single"/>
        </w:rPr>
      </w:pPr>
      <w:r>
        <w:t>The Internal Medicine, Family Medicine, Psychiatry, and Pediatrics clerkships will span t</w:t>
      </w:r>
      <w:r w:rsidR="00CA3E5C">
        <w:t>he entire LIC year.</w:t>
      </w:r>
      <w:r w:rsidR="00C54EA4">
        <w:t xml:space="preserve"> </w:t>
      </w:r>
      <w:r w:rsidR="00CA3E5C">
        <w:t>They may be delivered as</w:t>
      </w:r>
      <w:r>
        <w:t xml:space="preserve"> one half day every week, or one whole day every other week. General Surgery and OBGYN</w:t>
      </w:r>
      <w:r w:rsidR="008F5348">
        <w:t xml:space="preserve"> will be single semester</w:t>
      </w:r>
      <w:r>
        <w:t xml:space="preserve"> clerkships that will include two half days per week. One half day will be spent in the office setting, and the other</w:t>
      </w:r>
      <w:r w:rsidR="00AE1C04">
        <w:t xml:space="preserve"> half day</w:t>
      </w:r>
      <w:r>
        <w:t xml:space="preserve"> in the OR setting.</w:t>
      </w:r>
    </w:p>
    <w:p w14:paraId="65190087" w14:textId="77777777" w:rsidR="00415928" w:rsidRPr="00C54EA4" w:rsidRDefault="007F2E8C" w:rsidP="00571C57">
      <w:pPr>
        <w:pStyle w:val="Heading2"/>
        <w:rPr>
          <w:rStyle w:val="Heading2Char"/>
          <w:b/>
          <w:i/>
        </w:rPr>
      </w:pPr>
      <w:bookmarkStart w:id="4" w:name="_Toc516767127"/>
      <w:r w:rsidRPr="00C54EA4">
        <w:rPr>
          <w:rStyle w:val="Heading2Char"/>
          <w:b/>
          <w:i/>
        </w:rPr>
        <w:t>Evaluations</w:t>
      </w:r>
      <w:r w:rsidR="00420764" w:rsidRPr="00C54EA4">
        <w:rPr>
          <w:rStyle w:val="Heading2Char"/>
          <w:b/>
          <w:i/>
        </w:rPr>
        <w:t xml:space="preserve"> by F</w:t>
      </w:r>
      <w:r w:rsidR="00435544" w:rsidRPr="00C54EA4">
        <w:rPr>
          <w:rStyle w:val="Heading2Char"/>
          <w:b/>
          <w:i/>
        </w:rPr>
        <w:t>aculty</w:t>
      </w:r>
      <w:bookmarkEnd w:id="4"/>
    </w:p>
    <w:p w14:paraId="65190088" w14:textId="77777777" w:rsidR="00435544" w:rsidRDefault="00415928" w:rsidP="008C5508">
      <w:pPr>
        <w:pStyle w:val="NoSpacing"/>
      </w:pPr>
      <w:r>
        <w:t>F</w:t>
      </w:r>
      <w:r w:rsidR="007F2E8C">
        <w:t>ormative evaluations</w:t>
      </w:r>
      <w:r w:rsidR="00D57AE6">
        <w:t xml:space="preserve"> will occur for Internal Medicine, Family Medicine, Ped</w:t>
      </w:r>
      <w:r w:rsidR="003A531B">
        <w:t>iatrics, and Psychiatry after completion of the first semester</w:t>
      </w:r>
      <w:r w:rsidR="00D57AE6">
        <w:t>.</w:t>
      </w:r>
      <w:r w:rsidR="00C54EA4">
        <w:t xml:space="preserve"> </w:t>
      </w:r>
      <w:r w:rsidR="00D57AE6">
        <w:t>Since bo</w:t>
      </w:r>
      <w:r w:rsidR="003A531B">
        <w:t>th OBGYN and Surgery are single semester</w:t>
      </w:r>
      <w:r w:rsidR="00D57AE6">
        <w:t xml:space="preserve"> clerkships, </w:t>
      </w:r>
      <w:r w:rsidR="00D57AE6">
        <w:lastRenderedPageBreak/>
        <w:t>ther</w:t>
      </w:r>
      <w:r w:rsidR="007F2E8C">
        <w:t>e will be a formative evaluation</w:t>
      </w:r>
      <w:r w:rsidR="00D57AE6">
        <w:t xml:space="preserve"> at the midpoint of each course.</w:t>
      </w:r>
      <w:r w:rsidR="00C54EA4">
        <w:t xml:space="preserve"> </w:t>
      </w:r>
      <w:r w:rsidR="00F06137">
        <w:t>The LIC Clerkship</w:t>
      </w:r>
      <w:r w:rsidR="00435544">
        <w:t xml:space="preserve"> Administrator will review with students individually on a regular basis, the assessments of faculty, encounter summaries as reported in Student Academics, project progress, and examination results (both </w:t>
      </w:r>
      <w:r w:rsidR="005B3F31">
        <w:t>“</w:t>
      </w:r>
      <w:r w:rsidR="00435544">
        <w:t xml:space="preserve">practice” and NBME </w:t>
      </w:r>
      <w:r w:rsidR="005B3F31">
        <w:t>S</w:t>
      </w:r>
      <w:r w:rsidR="00435544">
        <w:t xml:space="preserve">ubject </w:t>
      </w:r>
      <w:r w:rsidR="005B3F31">
        <w:t>E</w:t>
      </w:r>
      <w:r w:rsidR="00435544">
        <w:t>xa</w:t>
      </w:r>
      <w:r w:rsidR="007F2E8C">
        <w:t>m</w:t>
      </w:r>
      <w:r w:rsidR="005B3F31">
        <w:t>ination</w:t>
      </w:r>
      <w:r w:rsidR="007F2E8C">
        <w:t>). A final summative evaluation</w:t>
      </w:r>
      <w:r w:rsidR="00435544">
        <w:t xml:space="preserve"> for each clerkship will occur at the completio</w:t>
      </w:r>
      <w:r w:rsidR="007F2E8C">
        <w:t>n of the requirements</w:t>
      </w:r>
      <w:r w:rsidR="00F06137">
        <w:t xml:space="preserve"> for </w:t>
      </w:r>
      <w:r w:rsidR="007F2E8C">
        <w:t xml:space="preserve">that </w:t>
      </w:r>
      <w:r w:rsidR="00F06137">
        <w:t>specialty</w:t>
      </w:r>
      <w:r w:rsidR="00435544">
        <w:t xml:space="preserve">. </w:t>
      </w:r>
    </w:p>
    <w:p w14:paraId="65190089" w14:textId="77777777" w:rsidR="00415928" w:rsidRPr="00C54EA4" w:rsidRDefault="00D742DA" w:rsidP="00571C57">
      <w:pPr>
        <w:pStyle w:val="Heading2"/>
        <w:rPr>
          <w:rStyle w:val="Heading2Char"/>
          <w:b/>
          <w:i/>
        </w:rPr>
      </w:pPr>
      <w:bookmarkStart w:id="5" w:name="_Toc516767128"/>
      <w:r w:rsidRPr="00C54EA4">
        <w:rPr>
          <w:rStyle w:val="Heading2Char"/>
          <w:b/>
          <w:i/>
        </w:rPr>
        <w:t>Clinical Encounter Documentation</w:t>
      </w:r>
      <w:bookmarkEnd w:id="5"/>
    </w:p>
    <w:p w14:paraId="6519008A" w14:textId="77777777" w:rsidR="0040673B" w:rsidRDefault="00435544" w:rsidP="008C5508">
      <w:pPr>
        <w:pStyle w:val="NoSpacing"/>
      </w:pPr>
      <w:r>
        <w:t xml:space="preserve">Students participating in the LIC will be responsible for entering the same number of total patients, same diagnoses/conditions and same procedures </w:t>
      </w:r>
      <w:r w:rsidR="0040673B">
        <w:rPr>
          <w:color w:val="auto"/>
        </w:rPr>
        <w:t xml:space="preserve">into the </w:t>
      </w:r>
      <w:r w:rsidR="00D742DA">
        <w:rPr>
          <w:color w:val="auto"/>
        </w:rPr>
        <w:t>Encounter Tracking System</w:t>
      </w:r>
      <w:r w:rsidR="0040673B">
        <w:rPr>
          <w:color w:val="auto"/>
        </w:rPr>
        <w:t xml:space="preserve"> (</w:t>
      </w:r>
      <w:r w:rsidR="00B000EF">
        <w:rPr>
          <w:color w:val="auto"/>
        </w:rPr>
        <w:t>ETS</w:t>
      </w:r>
      <w:r w:rsidR="0040673B">
        <w:rPr>
          <w:color w:val="auto"/>
        </w:rPr>
        <w:t>)</w:t>
      </w:r>
      <w:r w:rsidRPr="00A962B2">
        <w:rPr>
          <w:color w:val="7030A0"/>
        </w:rPr>
        <w:t xml:space="preserve"> </w:t>
      </w:r>
      <w:r>
        <w:t>as students participating in traditional block clerkships.</w:t>
      </w:r>
      <w:r w:rsidR="00AF4E3A">
        <w:t xml:space="preserve"> </w:t>
      </w:r>
      <w:r w:rsidR="0040673B" w:rsidRPr="0040673B">
        <w:rPr>
          <w:b/>
        </w:rPr>
        <w:t>Problems</w:t>
      </w:r>
      <w:r w:rsidR="007F2E8C" w:rsidRPr="0040673B">
        <w:rPr>
          <w:b/>
        </w:rPr>
        <w:t>/procedures</w:t>
      </w:r>
      <w:r w:rsidR="0040673B" w:rsidRPr="0040673B">
        <w:rPr>
          <w:b/>
        </w:rPr>
        <w:t>/screenings/counseling</w:t>
      </w:r>
      <w:r w:rsidR="007F2E8C" w:rsidRPr="0040673B">
        <w:rPr>
          <w:b/>
        </w:rPr>
        <w:t xml:space="preserve"> </w:t>
      </w:r>
      <w:r w:rsidR="00AF4E3A" w:rsidRPr="0040673B">
        <w:rPr>
          <w:b/>
        </w:rPr>
        <w:t xml:space="preserve">are </w:t>
      </w:r>
      <w:r w:rsidR="007A2F0A" w:rsidRPr="0040673B">
        <w:rPr>
          <w:b/>
        </w:rPr>
        <w:t>“</w:t>
      </w:r>
      <w:r w:rsidR="00AF4E3A" w:rsidRPr="0040673B">
        <w:rPr>
          <w:b/>
        </w:rPr>
        <w:t>universal</w:t>
      </w:r>
      <w:r w:rsidR="007A2F0A" w:rsidRPr="0040673B">
        <w:rPr>
          <w:b/>
        </w:rPr>
        <w:t>”</w:t>
      </w:r>
      <w:r w:rsidR="00AF4E3A" w:rsidRPr="0040673B">
        <w:rPr>
          <w:b/>
        </w:rPr>
        <w:t xml:space="preserve"> in that they can be seen and entered on one clerkship and count for another.</w:t>
      </w:r>
      <w:r w:rsidR="00C54EA4">
        <w:t xml:space="preserve"> </w:t>
      </w:r>
      <w:r w:rsidR="00AF4E3A">
        <w:t>For example – bacterial vaginosis diagnosed/treated in Family Medicine can be counted tow</w:t>
      </w:r>
      <w:r w:rsidR="0040673B">
        <w:t>ard GYN numbers needed as well.</w:t>
      </w:r>
      <w:r w:rsidR="00C54EA4">
        <w:t xml:space="preserve"> </w:t>
      </w:r>
    </w:p>
    <w:p w14:paraId="6519008B" w14:textId="77777777" w:rsidR="005E558A" w:rsidRPr="0005319D" w:rsidRDefault="0040673B" w:rsidP="0005319D">
      <w:pPr>
        <w:pStyle w:val="NoSpacing"/>
        <w:rPr>
          <w:rStyle w:val="Heading2Char"/>
          <w:b w:val="0"/>
          <w:i w:val="0"/>
          <w:sz w:val="22"/>
        </w:rPr>
        <w:sectPr w:rsidR="005E558A" w:rsidRPr="0005319D" w:rsidSect="00EF1820">
          <w:footerReference w:type="default" r:id="rId15"/>
          <w:footerReference w:type="first" r:id="rId16"/>
          <w:pgSz w:w="12240" w:h="15840"/>
          <w:pgMar w:top="1080" w:right="1080" w:bottom="1080" w:left="1080" w:header="1080" w:footer="1080" w:gutter="0"/>
          <w:cols w:space="720"/>
          <w:titlePg/>
          <w:docGrid w:linePitch="360"/>
        </w:sectPr>
      </w:pPr>
      <w:r>
        <w:t>Patient encounter entry</w:t>
      </w:r>
      <w:r w:rsidR="00435544">
        <w:t xml:space="preserve"> will be monitored throughout the year</w:t>
      </w:r>
      <w:r w:rsidR="007F2E8C">
        <w:t xml:space="preserve">, and progress discussed with the Clerkship Administrator during the </w:t>
      </w:r>
      <w:r w:rsidR="007F2E8C">
        <w:lastRenderedPageBreak/>
        <w:t>formative evaluations for each course</w:t>
      </w:r>
      <w:r w:rsidR="00435544">
        <w:t xml:space="preserve">. Students </w:t>
      </w:r>
      <w:r>
        <w:t xml:space="preserve">should enter patient encounters </w:t>
      </w:r>
      <w:r w:rsidR="00435544">
        <w:t>on a daily basis</w:t>
      </w:r>
      <w:r w:rsidR="00435544" w:rsidRPr="0040673B">
        <w:t xml:space="preserve">. </w:t>
      </w:r>
      <w:r w:rsidR="0005319D">
        <w:t xml:space="preserve">Please refer to ETS instructions for details on encounter entry.  </w:t>
      </w:r>
    </w:p>
    <w:p w14:paraId="6C90889F" w14:textId="77777777" w:rsidR="000C0B9A" w:rsidRPr="00345678" w:rsidRDefault="000C0B9A" w:rsidP="000C0B9A">
      <w:pPr>
        <w:pStyle w:val="Heading2"/>
        <w:rPr>
          <w:rFonts w:eastAsia="Arial" w:cstheme="minorHAnsi"/>
          <w:szCs w:val="24"/>
        </w:rPr>
      </w:pPr>
      <w:bookmarkStart w:id="6" w:name="_Toc516763463"/>
      <w:bookmarkStart w:id="7" w:name="_Toc516767129"/>
      <w:r w:rsidRPr="00345678">
        <w:rPr>
          <w:rFonts w:eastAsia="Arial" w:cstheme="minorHAnsi"/>
          <w:szCs w:val="24"/>
        </w:rPr>
        <w:lastRenderedPageBreak/>
        <w:t>Student Workhour Policy</w:t>
      </w:r>
      <w:bookmarkEnd w:id="6"/>
      <w:bookmarkEnd w:id="7"/>
    </w:p>
    <w:p w14:paraId="7FD62003" w14:textId="77777777" w:rsidR="000C0B9A" w:rsidRDefault="000C0B9A" w:rsidP="000C0B9A">
      <w:pPr>
        <w:rPr>
          <w:rFonts w:eastAsia="Times New Roman" w:cs="Calibri"/>
        </w:rPr>
      </w:pPr>
      <w:r>
        <w:rPr>
          <w:rFonts w:eastAsia="Times New Roman" w:cs="Calibri"/>
        </w:rPr>
        <w:t xml:space="preserve">The FSU College of Medicine adheres </w:t>
      </w:r>
      <w:r w:rsidRPr="004E3EE6">
        <w:rPr>
          <w:rFonts w:eastAsia="Times New Roman" w:cs="Calibri"/>
        </w:rPr>
        <w:t>to the ACGME requirements regarding clinical work and education. This includes working no more than 80 hours per week and no more than 24 hours continuously, except an additional 4 hours may be added to the 24 to perform activities related to patient safety, such as transitions of care or education. Additional patient care responsibilities must not be assigned during this time. Students will have at least one out of every 7 days off, completely free from clinical and educational duties, when averaged over 4 weeks.</w:t>
      </w:r>
    </w:p>
    <w:p w14:paraId="75FBF6EF" w14:textId="77777777" w:rsidR="000C0B9A" w:rsidRPr="00345678" w:rsidRDefault="000C0B9A" w:rsidP="000C0B9A">
      <w:pPr>
        <w:pStyle w:val="Heading2"/>
        <w:rPr>
          <w:rFonts w:asciiTheme="minorHAnsi" w:eastAsia="Arial" w:hAnsiTheme="minorHAnsi" w:cstheme="minorHAnsi"/>
          <w:szCs w:val="24"/>
        </w:rPr>
      </w:pPr>
      <w:bookmarkStart w:id="8" w:name="_Toc516767130"/>
      <w:r w:rsidRPr="00345678">
        <w:rPr>
          <w:rFonts w:asciiTheme="minorHAnsi" w:eastAsia="Arial" w:hAnsiTheme="minorHAnsi" w:cstheme="minorHAnsi"/>
          <w:szCs w:val="24"/>
        </w:rPr>
        <w:t>Documentation of Workhours</w:t>
      </w:r>
      <w:bookmarkEnd w:id="8"/>
    </w:p>
    <w:p w14:paraId="5E3D2090" w14:textId="77777777" w:rsidR="000C0B9A" w:rsidRDefault="000C0B9A" w:rsidP="000C0B9A">
      <w:pPr>
        <w:pStyle w:val="BodyText"/>
      </w:pPr>
      <w:r>
        <w:t xml:space="preserve">Students will use ETS to document by self-report their daily work hours. Students must enter daily work hours that includes both clinical experience and educational activities. Failure to report work hours is considered a breach of professionalism. </w:t>
      </w:r>
    </w:p>
    <w:p w14:paraId="6A172A53" w14:textId="77777777" w:rsidR="000C0B9A" w:rsidRDefault="000C0B9A" w:rsidP="000C0B9A">
      <w:pPr>
        <w:pStyle w:val="BodyText"/>
        <w:numPr>
          <w:ilvl w:val="0"/>
          <w:numId w:val="18"/>
        </w:numPr>
      </w:pPr>
      <w:r>
        <w:t>Clinical care, including documentation in medical record</w:t>
      </w:r>
    </w:p>
    <w:p w14:paraId="15BF8F37" w14:textId="77777777" w:rsidR="000C0B9A" w:rsidRDefault="000C0B9A" w:rsidP="000C0B9A">
      <w:pPr>
        <w:pStyle w:val="BodyText"/>
        <w:numPr>
          <w:ilvl w:val="0"/>
          <w:numId w:val="18"/>
        </w:numPr>
      </w:pPr>
      <w:r>
        <w:t>Required educational meetings (i.e. Doctoring 3, clerkship meetings, educational meetings at residency programs)</w:t>
      </w:r>
    </w:p>
    <w:p w14:paraId="70E5FB62" w14:textId="77777777" w:rsidR="000C0B9A" w:rsidRDefault="000C0B9A" w:rsidP="000C0B9A">
      <w:pPr>
        <w:pStyle w:val="BodyText"/>
      </w:pPr>
      <w:r>
        <w:lastRenderedPageBreak/>
        <w:t xml:space="preserve">Hours that should not be included in self-reported work hours include reading about patient conditions and procedures, self-directed study for clerkships/courses, work completed for assignments, learning modules and assigned reading. </w:t>
      </w:r>
    </w:p>
    <w:p w14:paraId="6519008C" w14:textId="77777777" w:rsidR="00EF1820" w:rsidRPr="00C54EA4" w:rsidRDefault="00420764" w:rsidP="00571C57">
      <w:pPr>
        <w:pStyle w:val="Heading2"/>
        <w:rPr>
          <w:rStyle w:val="Heading2Char"/>
          <w:b/>
          <w:i/>
        </w:rPr>
      </w:pPr>
      <w:bookmarkStart w:id="9" w:name="_Toc516767131"/>
      <w:r w:rsidRPr="00C54EA4">
        <w:rPr>
          <w:rStyle w:val="Heading2Char"/>
          <w:b/>
          <w:i/>
        </w:rPr>
        <w:t>Project S</w:t>
      </w:r>
      <w:r w:rsidR="00435544" w:rsidRPr="00C54EA4">
        <w:rPr>
          <w:rStyle w:val="Heading2Char"/>
          <w:b/>
          <w:i/>
        </w:rPr>
        <w:t>ubmission</w:t>
      </w:r>
      <w:r w:rsidR="00996689">
        <w:rPr>
          <w:rStyle w:val="Heading2Char"/>
          <w:b/>
          <w:i/>
        </w:rPr>
        <w:t>s</w:t>
      </w:r>
      <w:bookmarkEnd w:id="9"/>
    </w:p>
    <w:p w14:paraId="6519008D" w14:textId="77777777" w:rsidR="00AD6205" w:rsidRDefault="00435544" w:rsidP="008C5508">
      <w:pPr>
        <w:pStyle w:val="NoSpacing"/>
      </w:pPr>
      <w:r>
        <w:t>Students participating in the LIC will be responsible for completing the same required projects as students participating in block clerkships. Progress on each project will be monitored and discus</w:t>
      </w:r>
      <w:r w:rsidR="007F2E8C">
        <w:t>sed during the formative evaluation for</w:t>
      </w:r>
      <w:r w:rsidR="00A962B2">
        <w:t xml:space="preserve"> that specific clerkship</w:t>
      </w:r>
      <w:r>
        <w:t xml:space="preserve">. </w:t>
      </w:r>
    </w:p>
    <w:p w14:paraId="6519008E" w14:textId="77777777" w:rsidR="007321A6" w:rsidRPr="008C5508" w:rsidRDefault="007321A6" w:rsidP="008C5508">
      <w:pPr>
        <w:pStyle w:val="Heading3"/>
      </w:pPr>
      <w:bookmarkStart w:id="10" w:name="_Toc516767132"/>
      <w:r w:rsidRPr="008C5508">
        <w:t>Internal Medicine, Family Medicine, Psychiatry, and Pediatrics</w:t>
      </w:r>
      <w:bookmarkEnd w:id="10"/>
    </w:p>
    <w:p w14:paraId="6519008F" w14:textId="77777777" w:rsidR="00435544" w:rsidRDefault="00435544" w:rsidP="00996689">
      <w:pPr>
        <w:pStyle w:val="Default"/>
        <w:numPr>
          <w:ilvl w:val="0"/>
          <w:numId w:val="4"/>
        </w:numPr>
        <w:spacing w:after="5"/>
        <w:rPr>
          <w:sz w:val="23"/>
          <w:szCs w:val="23"/>
        </w:rPr>
      </w:pPr>
      <w:r>
        <w:rPr>
          <w:sz w:val="23"/>
          <w:szCs w:val="23"/>
        </w:rPr>
        <w:t xml:space="preserve">Any required </w:t>
      </w:r>
      <w:r w:rsidRPr="0040673B">
        <w:rPr>
          <w:sz w:val="23"/>
          <w:szCs w:val="23"/>
        </w:rPr>
        <w:t xml:space="preserve">project that is due at the </w:t>
      </w:r>
      <w:r w:rsidRPr="0040673B">
        <w:rPr>
          <w:b/>
          <w:sz w:val="23"/>
          <w:szCs w:val="23"/>
        </w:rPr>
        <w:t>end of the first week</w:t>
      </w:r>
      <w:r w:rsidRPr="0040673B">
        <w:rPr>
          <w:sz w:val="23"/>
          <w:szCs w:val="23"/>
        </w:rPr>
        <w:t xml:space="preserve"> </w:t>
      </w:r>
      <w:r>
        <w:rPr>
          <w:sz w:val="23"/>
          <w:szCs w:val="23"/>
        </w:rPr>
        <w:t xml:space="preserve">of the clerkship during a traditional block clerkship, will be </w:t>
      </w:r>
      <w:r w:rsidRPr="0040673B">
        <w:rPr>
          <w:b/>
          <w:bCs/>
          <w:sz w:val="23"/>
          <w:szCs w:val="23"/>
        </w:rPr>
        <w:t xml:space="preserve">due by the end of the 6th week of the LIC. </w:t>
      </w:r>
    </w:p>
    <w:p w14:paraId="65190090" w14:textId="77777777" w:rsidR="00435544" w:rsidRPr="0040673B" w:rsidRDefault="00435544" w:rsidP="00F60925">
      <w:pPr>
        <w:pStyle w:val="Default"/>
        <w:numPr>
          <w:ilvl w:val="0"/>
          <w:numId w:val="4"/>
        </w:numPr>
        <w:spacing w:after="5"/>
        <w:rPr>
          <w:sz w:val="23"/>
          <w:szCs w:val="23"/>
        </w:rPr>
      </w:pPr>
      <w:r>
        <w:rPr>
          <w:sz w:val="23"/>
          <w:szCs w:val="23"/>
        </w:rPr>
        <w:t xml:space="preserve">Any required </w:t>
      </w:r>
      <w:r w:rsidRPr="0040673B">
        <w:rPr>
          <w:sz w:val="23"/>
          <w:szCs w:val="23"/>
        </w:rPr>
        <w:t xml:space="preserve">project that is due during the </w:t>
      </w:r>
      <w:r w:rsidRPr="0040673B">
        <w:rPr>
          <w:b/>
          <w:sz w:val="23"/>
          <w:szCs w:val="23"/>
        </w:rPr>
        <w:t>middle of the clerkship</w:t>
      </w:r>
      <w:r w:rsidRPr="0040673B">
        <w:rPr>
          <w:sz w:val="23"/>
          <w:szCs w:val="23"/>
        </w:rPr>
        <w:t xml:space="preserve"> (weeks 2-5 of a traditional</w:t>
      </w:r>
      <w:r w:rsidR="007547BA" w:rsidRPr="0040673B">
        <w:rPr>
          <w:sz w:val="23"/>
          <w:szCs w:val="23"/>
        </w:rPr>
        <w:t xml:space="preserve"> 6 week clerkship</w:t>
      </w:r>
      <w:r w:rsidRPr="0040673B">
        <w:rPr>
          <w:sz w:val="23"/>
          <w:szCs w:val="23"/>
        </w:rPr>
        <w:t xml:space="preserve">) will be </w:t>
      </w:r>
      <w:r w:rsidRPr="0040673B">
        <w:rPr>
          <w:b/>
          <w:bCs/>
          <w:sz w:val="23"/>
          <w:szCs w:val="23"/>
        </w:rPr>
        <w:t xml:space="preserve">due by the end of the first </w:t>
      </w:r>
      <w:r w:rsidR="007321A6" w:rsidRPr="0040673B">
        <w:rPr>
          <w:b/>
          <w:bCs/>
          <w:sz w:val="23"/>
          <w:szCs w:val="23"/>
        </w:rPr>
        <w:t>semester</w:t>
      </w:r>
      <w:r w:rsidRPr="0040673B">
        <w:rPr>
          <w:b/>
          <w:bCs/>
          <w:sz w:val="23"/>
          <w:szCs w:val="23"/>
        </w:rPr>
        <w:t xml:space="preserve"> of the academic year</w:t>
      </w:r>
      <w:r w:rsidRPr="0040673B">
        <w:rPr>
          <w:sz w:val="23"/>
          <w:szCs w:val="23"/>
        </w:rPr>
        <w:t xml:space="preserve">. </w:t>
      </w:r>
    </w:p>
    <w:p w14:paraId="65190091" w14:textId="77777777" w:rsidR="00435544" w:rsidRPr="0040673B" w:rsidRDefault="00435544" w:rsidP="00F60925">
      <w:pPr>
        <w:pStyle w:val="Default"/>
        <w:numPr>
          <w:ilvl w:val="0"/>
          <w:numId w:val="4"/>
        </w:numPr>
        <w:spacing w:after="5"/>
        <w:rPr>
          <w:sz w:val="23"/>
          <w:szCs w:val="23"/>
        </w:rPr>
      </w:pPr>
      <w:r w:rsidRPr="0040673B">
        <w:rPr>
          <w:bCs/>
          <w:sz w:val="23"/>
          <w:szCs w:val="23"/>
        </w:rPr>
        <w:lastRenderedPageBreak/>
        <w:t xml:space="preserve">Any other required clerkship project—including those typically due at the end of a traditional block clerkship--will be </w:t>
      </w:r>
      <w:r w:rsidRPr="0040673B">
        <w:rPr>
          <w:b/>
          <w:bCs/>
          <w:sz w:val="23"/>
          <w:szCs w:val="23"/>
        </w:rPr>
        <w:t xml:space="preserve">due by the end of the second </w:t>
      </w:r>
      <w:r w:rsidR="007321A6" w:rsidRPr="0040673B">
        <w:rPr>
          <w:b/>
          <w:bCs/>
          <w:sz w:val="23"/>
          <w:szCs w:val="23"/>
        </w:rPr>
        <w:t xml:space="preserve">semester </w:t>
      </w:r>
      <w:r w:rsidRPr="0040673B">
        <w:rPr>
          <w:b/>
          <w:bCs/>
          <w:sz w:val="23"/>
          <w:szCs w:val="23"/>
        </w:rPr>
        <w:t>of the academic year</w:t>
      </w:r>
      <w:r w:rsidRPr="0040673B">
        <w:rPr>
          <w:bCs/>
          <w:i/>
          <w:iCs/>
          <w:sz w:val="23"/>
          <w:szCs w:val="23"/>
        </w:rPr>
        <w:t xml:space="preserve">. </w:t>
      </w:r>
    </w:p>
    <w:p w14:paraId="65190092" w14:textId="77777777" w:rsidR="00845535" w:rsidRPr="0040673B" w:rsidRDefault="00845535" w:rsidP="00F60925">
      <w:pPr>
        <w:pStyle w:val="Default"/>
        <w:numPr>
          <w:ilvl w:val="0"/>
          <w:numId w:val="4"/>
        </w:numPr>
        <w:spacing w:after="5"/>
        <w:rPr>
          <w:i/>
          <w:color w:val="auto"/>
          <w:sz w:val="23"/>
          <w:szCs w:val="23"/>
        </w:rPr>
      </w:pPr>
      <w:r w:rsidRPr="0040673B">
        <w:rPr>
          <w:bCs/>
          <w:i/>
          <w:color w:val="auto"/>
          <w:sz w:val="23"/>
          <w:szCs w:val="23"/>
        </w:rPr>
        <w:t>Please be sure to check the individual syllabi for exceptions to this general policy</w:t>
      </w:r>
      <w:r w:rsidRPr="0040673B">
        <w:rPr>
          <w:i/>
          <w:color w:val="auto"/>
          <w:sz w:val="23"/>
          <w:szCs w:val="23"/>
        </w:rPr>
        <w:t>.</w:t>
      </w:r>
    </w:p>
    <w:p w14:paraId="65190093" w14:textId="77777777" w:rsidR="007321A6" w:rsidRDefault="007321A6" w:rsidP="00F60925">
      <w:pPr>
        <w:pStyle w:val="Default"/>
        <w:spacing w:after="5"/>
        <w:ind w:left="1440"/>
        <w:rPr>
          <w:sz w:val="23"/>
          <w:szCs w:val="23"/>
          <w:u w:val="single"/>
        </w:rPr>
      </w:pPr>
    </w:p>
    <w:p w14:paraId="65190094" w14:textId="77777777" w:rsidR="007321A6" w:rsidRPr="00763121" w:rsidRDefault="007321A6" w:rsidP="008C5508">
      <w:pPr>
        <w:pStyle w:val="Heading3"/>
        <w:rPr>
          <w:color w:val="FF0000"/>
          <w:sz w:val="23"/>
          <w:szCs w:val="23"/>
        </w:rPr>
      </w:pPr>
      <w:bookmarkStart w:id="11" w:name="_Toc516767133"/>
      <w:r w:rsidRPr="005A7199">
        <w:t xml:space="preserve">Surgery and </w:t>
      </w:r>
      <w:r w:rsidR="00996689">
        <w:t>OB/GYN</w:t>
      </w:r>
      <w:bookmarkEnd w:id="11"/>
    </w:p>
    <w:p w14:paraId="65190095" w14:textId="77777777" w:rsidR="007321A6" w:rsidRPr="005E0289" w:rsidRDefault="007321A6" w:rsidP="00F60925">
      <w:pPr>
        <w:pStyle w:val="Default"/>
        <w:numPr>
          <w:ilvl w:val="0"/>
          <w:numId w:val="15"/>
        </w:numPr>
        <w:spacing w:after="5"/>
        <w:rPr>
          <w:color w:val="auto"/>
          <w:sz w:val="23"/>
          <w:szCs w:val="23"/>
        </w:rPr>
      </w:pPr>
      <w:r w:rsidRPr="005E0289">
        <w:rPr>
          <w:color w:val="auto"/>
          <w:sz w:val="23"/>
          <w:szCs w:val="23"/>
        </w:rPr>
        <w:t xml:space="preserve">Since Surgery and OBGYN are SEMESTER-long Clerkships – </w:t>
      </w:r>
      <w:r w:rsidRPr="005E0289">
        <w:rPr>
          <w:b/>
          <w:color w:val="auto"/>
          <w:sz w:val="23"/>
          <w:szCs w:val="23"/>
        </w:rPr>
        <w:t>1 week in a traditional block = 3 LIC weeks.</w:t>
      </w:r>
      <w:r w:rsidR="00C54EA4" w:rsidRPr="005E0289">
        <w:rPr>
          <w:color w:val="auto"/>
          <w:sz w:val="23"/>
          <w:szCs w:val="23"/>
        </w:rPr>
        <w:t xml:space="preserve"> </w:t>
      </w:r>
      <w:r w:rsidRPr="005E0289">
        <w:rPr>
          <w:color w:val="auto"/>
          <w:sz w:val="23"/>
          <w:szCs w:val="23"/>
        </w:rPr>
        <w:t>Timelines for submission of projects f</w:t>
      </w:r>
      <w:r w:rsidR="00A962B2" w:rsidRPr="005E0289">
        <w:rPr>
          <w:color w:val="auto"/>
          <w:sz w:val="23"/>
          <w:szCs w:val="23"/>
        </w:rPr>
        <w:t>or these clerkships should</w:t>
      </w:r>
      <w:r w:rsidRPr="005E0289">
        <w:rPr>
          <w:color w:val="auto"/>
          <w:sz w:val="23"/>
          <w:szCs w:val="23"/>
        </w:rPr>
        <w:t xml:space="preserve"> be adjusted accordingly.</w:t>
      </w:r>
      <w:r w:rsidR="00C54EA4" w:rsidRPr="005E0289">
        <w:rPr>
          <w:color w:val="auto"/>
          <w:sz w:val="23"/>
          <w:szCs w:val="23"/>
        </w:rPr>
        <w:t xml:space="preserve"> </w:t>
      </w:r>
    </w:p>
    <w:p w14:paraId="65190096" w14:textId="77777777" w:rsidR="00AD0322" w:rsidRPr="00AD0322" w:rsidRDefault="00435544" w:rsidP="00F60925">
      <w:pPr>
        <w:pStyle w:val="Default"/>
        <w:numPr>
          <w:ilvl w:val="0"/>
          <w:numId w:val="15"/>
        </w:numPr>
        <w:rPr>
          <w:sz w:val="23"/>
          <w:szCs w:val="23"/>
          <w:u w:val="single"/>
        </w:rPr>
      </w:pPr>
      <w:r w:rsidRPr="007547BA">
        <w:rPr>
          <w:b/>
          <w:bCs/>
          <w:sz w:val="23"/>
          <w:szCs w:val="23"/>
          <w:u w:val="single"/>
        </w:rPr>
        <w:t xml:space="preserve">Any project may be completed and turned in at any time before the deadlines above. </w:t>
      </w:r>
    </w:p>
    <w:p w14:paraId="65190097" w14:textId="77777777" w:rsidR="00AD0322" w:rsidRPr="008C5508" w:rsidRDefault="00435544" w:rsidP="00571C57">
      <w:pPr>
        <w:pStyle w:val="Heading2"/>
      </w:pPr>
      <w:bookmarkStart w:id="12" w:name="_Toc516767134"/>
      <w:r w:rsidRPr="008C5508">
        <w:t>NBM</w:t>
      </w:r>
      <w:r w:rsidR="00EF1820" w:rsidRPr="008C5508">
        <w:t>E Clinical Subject Examinations</w:t>
      </w:r>
      <w:bookmarkEnd w:id="12"/>
    </w:p>
    <w:p w14:paraId="65190098" w14:textId="77777777" w:rsidR="00DB4F57" w:rsidRPr="005E0289" w:rsidRDefault="00435544" w:rsidP="00571C57">
      <w:pPr>
        <w:pStyle w:val="NoSpacing"/>
        <w:rPr>
          <w:bCs/>
          <w:color w:val="auto"/>
        </w:rPr>
      </w:pPr>
      <w:r w:rsidRPr="009A3EDF">
        <w:t>Students participating in the LIC will</w:t>
      </w:r>
      <w:r w:rsidR="007A2F0A">
        <w:t xml:space="preserve"> have the option</w:t>
      </w:r>
      <w:r w:rsidRPr="009A3EDF">
        <w:t xml:space="preserve"> to </w:t>
      </w:r>
      <w:r w:rsidR="003F6164" w:rsidRPr="003F6164">
        <w:rPr>
          <w:bCs/>
        </w:rPr>
        <w:t>begin</w:t>
      </w:r>
      <w:r w:rsidRPr="009A3EDF">
        <w:rPr>
          <w:bCs/>
        </w:rPr>
        <w:t xml:space="preserve"> NBME Subject Examination</w:t>
      </w:r>
      <w:r w:rsidR="003F6164">
        <w:rPr>
          <w:bCs/>
        </w:rPr>
        <w:t xml:space="preserve"> testing</w:t>
      </w:r>
      <w:r w:rsidRPr="009A3EDF">
        <w:rPr>
          <w:bCs/>
        </w:rPr>
        <w:t xml:space="preserve"> in any of the core cle</w:t>
      </w:r>
      <w:r w:rsidR="003F6164">
        <w:rPr>
          <w:bCs/>
        </w:rPr>
        <w:t xml:space="preserve">rkships </w:t>
      </w:r>
      <w:r w:rsidR="003F6164" w:rsidRPr="002D62C9">
        <w:rPr>
          <w:bCs/>
        </w:rPr>
        <w:t xml:space="preserve">on </w:t>
      </w:r>
      <w:r w:rsidR="009101A6" w:rsidRPr="002D62C9">
        <w:rPr>
          <w:bCs/>
        </w:rPr>
        <w:t>Sep</w:t>
      </w:r>
      <w:r w:rsidR="009101A6" w:rsidRPr="002D62C9">
        <w:rPr>
          <w:bCs/>
        </w:rPr>
        <w:lastRenderedPageBreak/>
        <w:t xml:space="preserve">tember </w:t>
      </w:r>
      <w:r w:rsidR="002D62C9">
        <w:rPr>
          <w:bCs/>
        </w:rPr>
        <w:t>14</w:t>
      </w:r>
      <w:r w:rsidRPr="009A3EDF">
        <w:t>.</w:t>
      </w:r>
      <w:r w:rsidR="00F80F09" w:rsidRPr="009A3EDF">
        <w:t xml:space="preserve"> </w:t>
      </w:r>
      <w:r w:rsidR="001C2326" w:rsidRPr="009A3EDF">
        <w:t xml:space="preserve">It is strongly suggested that one NBME </w:t>
      </w:r>
      <w:r w:rsidR="005B3F31" w:rsidRPr="009A3EDF">
        <w:rPr>
          <w:bCs/>
        </w:rPr>
        <w:t>Subject Examination</w:t>
      </w:r>
      <w:r w:rsidR="005B3F31" w:rsidRPr="009A3EDF">
        <w:t xml:space="preserve"> </w:t>
      </w:r>
      <w:r w:rsidR="001C2326" w:rsidRPr="009A3EDF">
        <w:t xml:space="preserve">be completed in </w:t>
      </w:r>
      <w:r w:rsidR="009101A6" w:rsidRPr="00DB4F57">
        <w:t>September</w:t>
      </w:r>
      <w:r w:rsidR="001C2326" w:rsidRPr="009A3EDF">
        <w:t>.</w:t>
      </w:r>
      <w:r w:rsidR="00C54EA4">
        <w:t xml:space="preserve"> </w:t>
      </w:r>
      <w:r w:rsidR="001C2326" w:rsidRPr="005E0289">
        <w:rPr>
          <w:color w:val="auto"/>
        </w:rPr>
        <w:t>Completion of</w:t>
      </w:r>
      <w:r w:rsidR="00F80F09" w:rsidRPr="005E0289">
        <w:rPr>
          <w:color w:val="auto"/>
        </w:rPr>
        <w:t xml:space="preserve"> </w:t>
      </w:r>
      <w:r w:rsidR="00F80F09" w:rsidRPr="005E0289">
        <w:rPr>
          <w:b/>
          <w:color w:val="auto"/>
        </w:rPr>
        <w:t xml:space="preserve">NBME </w:t>
      </w:r>
      <w:r w:rsidR="005B3F31" w:rsidRPr="005E0289">
        <w:rPr>
          <w:b/>
          <w:color w:val="auto"/>
        </w:rPr>
        <w:t>Subject Examinations</w:t>
      </w:r>
      <w:r w:rsidR="00F80F09" w:rsidRPr="005E0289">
        <w:rPr>
          <w:b/>
          <w:color w:val="auto"/>
        </w:rPr>
        <w:t xml:space="preserve"> for Surgery </w:t>
      </w:r>
      <w:r w:rsidR="009101A6" w:rsidRPr="005E0289">
        <w:rPr>
          <w:b/>
          <w:color w:val="auto"/>
        </w:rPr>
        <w:t>or OBGYN</w:t>
      </w:r>
      <w:r w:rsidR="009101A6" w:rsidRPr="005E0289">
        <w:rPr>
          <w:color w:val="auto"/>
        </w:rPr>
        <w:t xml:space="preserve"> taken in the </w:t>
      </w:r>
      <w:r w:rsidR="009101A6" w:rsidRPr="005E0289">
        <w:rPr>
          <w:i/>
          <w:color w:val="auto"/>
        </w:rPr>
        <w:t>first semester</w:t>
      </w:r>
      <w:r w:rsidR="00F80F09" w:rsidRPr="005E0289">
        <w:rPr>
          <w:color w:val="auto"/>
        </w:rPr>
        <w:t xml:space="preserve"> of the year will be </w:t>
      </w:r>
      <w:r w:rsidR="00F80F09" w:rsidRPr="005E0289">
        <w:rPr>
          <w:b/>
          <w:color w:val="auto"/>
        </w:rPr>
        <w:t>re</w:t>
      </w:r>
      <w:r w:rsidR="001C2326" w:rsidRPr="005E0289">
        <w:rPr>
          <w:b/>
          <w:color w:val="auto"/>
        </w:rPr>
        <w:t>quired pr</w:t>
      </w:r>
      <w:r w:rsidR="009101A6" w:rsidRPr="005E0289">
        <w:rPr>
          <w:b/>
          <w:color w:val="auto"/>
        </w:rPr>
        <w:t>ior to the start of the second semester</w:t>
      </w:r>
      <w:r w:rsidR="00DB4F57" w:rsidRPr="005E0289">
        <w:rPr>
          <w:bCs/>
          <w:color w:val="auto"/>
        </w:rPr>
        <w:t>.</w:t>
      </w:r>
      <w:r w:rsidR="00C54EA4" w:rsidRPr="005E0289">
        <w:rPr>
          <w:bCs/>
          <w:color w:val="auto"/>
        </w:rPr>
        <w:t xml:space="preserve"> </w:t>
      </w:r>
      <w:r w:rsidR="00DB4F57" w:rsidRPr="005E0289">
        <w:rPr>
          <w:bCs/>
          <w:color w:val="auto"/>
        </w:rPr>
        <w:t>Because the</w:t>
      </w:r>
      <w:r w:rsidR="002F3D98" w:rsidRPr="005E0289">
        <w:rPr>
          <w:bCs/>
          <w:color w:val="auto"/>
        </w:rPr>
        <w:t>re are only 3 months of LIC</w:t>
      </w:r>
      <w:r w:rsidR="00DB4F57" w:rsidRPr="005E0289">
        <w:rPr>
          <w:bCs/>
          <w:color w:val="auto"/>
        </w:rPr>
        <w:t xml:space="preserve"> after Winter Break, it is </w:t>
      </w:r>
      <w:r w:rsidR="005E0289" w:rsidRPr="005E0289">
        <w:rPr>
          <w:bCs/>
          <w:i/>
          <w:color w:val="auto"/>
        </w:rPr>
        <w:t>strongly encouraged</w:t>
      </w:r>
      <w:r w:rsidR="00DB4F57" w:rsidRPr="005E0289">
        <w:rPr>
          <w:bCs/>
          <w:color w:val="auto"/>
        </w:rPr>
        <w:t xml:space="preserve"> that each student take</w:t>
      </w:r>
      <w:r w:rsidR="002F3D98" w:rsidRPr="005E0289">
        <w:rPr>
          <w:bCs/>
          <w:color w:val="auto"/>
        </w:rPr>
        <w:t xml:space="preserve"> </w:t>
      </w:r>
      <w:r w:rsidR="002F3D98" w:rsidRPr="005E0289">
        <w:rPr>
          <w:b/>
          <w:bCs/>
          <w:color w:val="auto"/>
        </w:rPr>
        <w:t>at least</w:t>
      </w:r>
      <w:r w:rsidR="00DB4F57" w:rsidRPr="005E0289">
        <w:rPr>
          <w:b/>
          <w:bCs/>
          <w:color w:val="auto"/>
        </w:rPr>
        <w:t xml:space="preserve"> 3 exams prior to Winter Break</w:t>
      </w:r>
      <w:r w:rsidR="00DB4F57" w:rsidRPr="005E0289">
        <w:rPr>
          <w:bCs/>
          <w:color w:val="auto"/>
        </w:rPr>
        <w:t xml:space="preserve">. </w:t>
      </w:r>
    </w:p>
    <w:p w14:paraId="65190099" w14:textId="77777777" w:rsidR="00571C57" w:rsidRPr="005E0289" w:rsidRDefault="00435544" w:rsidP="00571C57">
      <w:pPr>
        <w:pStyle w:val="NoSpacing"/>
        <w:rPr>
          <w:b/>
          <w:color w:val="auto"/>
        </w:rPr>
      </w:pPr>
      <w:r w:rsidRPr="009A3EDF">
        <w:rPr>
          <w:bCs/>
        </w:rPr>
        <w:t>First attempts at all 6 required clerkship NBME Subject Ex</w:t>
      </w:r>
      <w:r w:rsidR="009A3EDF" w:rsidRPr="009A3EDF">
        <w:rPr>
          <w:bCs/>
        </w:rPr>
        <w:t>am</w:t>
      </w:r>
      <w:r w:rsidR="005B3F31">
        <w:rPr>
          <w:bCs/>
        </w:rPr>
        <w:t>inations</w:t>
      </w:r>
      <w:r w:rsidR="00C7479A">
        <w:rPr>
          <w:bCs/>
        </w:rPr>
        <w:t xml:space="preserve"> should be completed by April 12, 2019 </w:t>
      </w:r>
      <w:r w:rsidRPr="009101A6">
        <w:t>to all</w:t>
      </w:r>
      <w:r w:rsidR="009A3EDF" w:rsidRPr="009101A6">
        <w:t xml:space="preserve">ow for potential remediation during the </w:t>
      </w:r>
      <w:r w:rsidR="00070854">
        <w:t>Second</w:t>
      </w:r>
      <w:r w:rsidR="009F0258">
        <w:t xml:space="preserve"> flextime</w:t>
      </w:r>
      <w:r w:rsidR="009A3EDF" w:rsidRPr="009101A6">
        <w:t xml:space="preserve"> Block</w:t>
      </w:r>
      <w:r w:rsidRPr="009A3EDF">
        <w:t xml:space="preserve">. </w:t>
      </w:r>
      <w:r w:rsidR="0018160F" w:rsidRPr="005E0289">
        <w:rPr>
          <w:color w:val="auto"/>
        </w:rPr>
        <w:t>THIS DATE WILL NOT BE ADJUSTED SO PLEASE PLAN YOUR TESTING SCHEDULES ACCORDINGLY!</w:t>
      </w:r>
    </w:p>
    <w:p w14:paraId="6519009A" w14:textId="77777777" w:rsidR="000862F2" w:rsidRDefault="002D2590" w:rsidP="00571C57">
      <w:pPr>
        <w:pStyle w:val="NoSpacing"/>
      </w:pPr>
      <w:r>
        <w:t>The decision</w:t>
      </w:r>
      <w:r w:rsidR="00435544" w:rsidRPr="009A3EDF">
        <w:t xml:space="preserve"> </w:t>
      </w:r>
      <w:r w:rsidR="005E0289">
        <w:t xml:space="preserve">regarding </w:t>
      </w:r>
      <w:r w:rsidR="00435544" w:rsidRPr="009A3EDF">
        <w:t>when to take an exam should be made after cons</w:t>
      </w:r>
      <w:r w:rsidR="00070854">
        <w:t>ultation with the LIC Clerkship</w:t>
      </w:r>
      <w:r w:rsidR="00435544" w:rsidRPr="009A3EDF">
        <w:t xml:space="preserve"> Administrator with additional input from other faculty advisors as needed. </w:t>
      </w:r>
      <w:r w:rsidR="00C7479A" w:rsidRPr="005E0289">
        <w:rPr>
          <w:b/>
          <w:color w:val="auto"/>
        </w:rPr>
        <w:t>Each</w:t>
      </w:r>
      <w:r w:rsidR="00435544" w:rsidRPr="005E0289">
        <w:rPr>
          <w:b/>
          <w:color w:val="auto"/>
        </w:rPr>
        <w:t xml:space="preserve"> st</w:t>
      </w:r>
      <w:r w:rsidR="00C7479A" w:rsidRPr="005E0289">
        <w:rPr>
          <w:b/>
          <w:color w:val="auto"/>
        </w:rPr>
        <w:t>udent must turn in a list of test dates for the First Semester to the Tallahassee Regional Campus Stude</w:t>
      </w:r>
      <w:r w:rsidR="000862F2" w:rsidRPr="005E0289">
        <w:rPr>
          <w:b/>
          <w:color w:val="auto"/>
        </w:rPr>
        <w:t>nt Support Coordinator by August 1</w:t>
      </w:r>
      <w:r w:rsidR="00C7479A" w:rsidRPr="005E0289">
        <w:rPr>
          <w:b/>
          <w:color w:val="auto"/>
        </w:rPr>
        <w:t xml:space="preserve">, and a list of test date </w:t>
      </w:r>
      <w:r w:rsidR="002E39B0" w:rsidRPr="005E0289">
        <w:rPr>
          <w:b/>
          <w:color w:val="auto"/>
        </w:rPr>
        <w:t>for the Second Semester by Nov</w:t>
      </w:r>
      <w:r w:rsidR="00C7479A" w:rsidRPr="005E0289">
        <w:rPr>
          <w:b/>
          <w:color w:val="auto"/>
        </w:rPr>
        <w:t>ember 1</w:t>
      </w:r>
      <w:r w:rsidR="002E39B0" w:rsidRPr="005E0289">
        <w:rPr>
          <w:b/>
          <w:color w:val="auto"/>
        </w:rPr>
        <w:t>5</w:t>
      </w:r>
      <w:r w:rsidR="00C7479A" w:rsidRPr="005E0289">
        <w:rPr>
          <w:color w:val="auto"/>
        </w:rPr>
        <w:t>.</w:t>
      </w:r>
      <w:r w:rsidR="009F0258" w:rsidRPr="005E0289">
        <w:rPr>
          <w:color w:val="auto"/>
        </w:rPr>
        <w:t xml:space="preserve"> </w:t>
      </w:r>
      <w:r w:rsidR="0039202A">
        <w:t xml:space="preserve">Please be diligent in your scheduling and </w:t>
      </w:r>
      <w:r w:rsidR="00C7479A">
        <w:t>try not to change testing dates</w:t>
      </w:r>
      <w:r w:rsidR="0039202A">
        <w:t>.</w:t>
      </w:r>
      <w:r w:rsidR="00C54EA4">
        <w:t xml:space="preserve"> </w:t>
      </w:r>
      <w:r w:rsidR="0039202A">
        <w:t xml:space="preserve">This </w:t>
      </w:r>
      <w:r w:rsidR="0039202A">
        <w:lastRenderedPageBreak/>
        <w:t xml:space="preserve">is taxing on both the Regional Campus Staff and the Main Campus Staff who coordinate the testing. </w:t>
      </w:r>
    </w:p>
    <w:p w14:paraId="6519009B" w14:textId="77777777" w:rsidR="00C10C0D" w:rsidRDefault="0039202A" w:rsidP="00571C57">
      <w:pPr>
        <w:pStyle w:val="NoSpacing"/>
      </w:pPr>
      <w:r>
        <w:t>NBME testing</w:t>
      </w:r>
      <w:r w:rsidR="003F6164">
        <w:t xml:space="preserve"> of LIC students will </w:t>
      </w:r>
      <w:r w:rsidR="00435544" w:rsidRPr="009A3EDF">
        <w:t xml:space="preserve">occur at the regional campus on days when NBME </w:t>
      </w:r>
      <w:r w:rsidR="006F3DD2">
        <w:t>S</w:t>
      </w:r>
      <w:r w:rsidR="00435544" w:rsidRPr="009A3EDF">
        <w:t xml:space="preserve">ubject </w:t>
      </w:r>
      <w:r w:rsidR="006F3DD2">
        <w:t>E</w:t>
      </w:r>
      <w:r w:rsidR="00435544" w:rsidRPr="009A3EDF">
        <w:t>xams are being taken by students completing t</w:t>
      </w:r>
      <w:r w:rsidR="003F6164">
        <w:t>he traditional block clerkships.</w:t>
      </w:r>
      <w:r w:rsidR="00C54EA4">
        <w:t xml:space="preserve"> </w:t>
      </w:r>
      <w:r w:rsidR="003F6164">
        <w:t>These</w:t>
      </w:r>
      <w:r w:rsidR="00435544" w:rsidRPr="009A3EDF">
        <w:t xml:space="preserve"> are conducted on the last Friday of those rotations. </w:t>
      </w:r>
      <w:r w:rsidR="003F6164" w:rsidRPr="009A3EDF">
        <w:t>A list of availabl</w:t>
      </w:r>
      <w:r w:rsidR="003F6164">
        <w:t xml:space="preserve">e test dates for NBME </w:t>
      </w:r>
      <w:r w:rsidR="006F3DD2">
        <w:t>testing</w:t>
      </w:r>
      <w:r w:rsidR="003F6164">
        <w:t xml:space="preserve"> is included below.</w:t>
      </w:r>
      <w:r w:rsidR="00E84A69">
        <w:t xml:space="preserve"> </w:t>
      </w:r>
    </w:p>
    <w:tbl>
      <w:tblPr>
        <w:tblStyle w:val="GridTable4"/>
        <w:tblW w:w="5000" w:type="pct"/>
        <w:jc w:val="center"/>
        <w:tblLook w:val="04A0" w:firstRow="1" w:lastRow="0" w:firstColumn="1" w:lastColumn="0" w:noHBand="0" w:noVBand="1"/>
      </w:tblPr>
      <w:tblGrid>
        <w:gridCol w:w="5035"/>
        <w:gridCol w:w="5035"/>
      </w:tblGrid>
      <w:tr w:rsidR="008721E5" w:rsidRPr="0099683F" w14:paraId="6519009D" w14:textId="77777777" w:rsidTr="008721E5">
        <w:trPr>
          <w:cnfStyle w:val="100000000000" w:firstRow="1" w:lastRow="0" w:firstColumn="0" w:lastColumn="0" w:oddVBand="0" w:evenVBand="0" w:oddHBand="0"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7CAAC" w:themeFill="accent2" w:themeFillTint="66"/>
          </w:tcPr>
          <w:p w14:paraId="6519009C" w14:textId="77777777" w:rsidR="008721E5" w:rsidRPr="0099683F" w:rsidRDefault="008721E5" w:rsidP="008721E5">
            <w:pPr>
              <w:jc w:val="center"/>
              <w:rPr>
                <w:color w:val="FFFFFF"/>
              </w:rPr>
            </w:pPr>
            <w:r w:rsidRPr="0099683F">
              <w:rPr>
                <w:color w:val="auto"/>
              </w:rPr>
              <w:t>Available LIC NBME Subject Exam</w:t>
            </w:r>
            <w:r w:rsidR="006F3DD2">
              <w:rPr>
                <w:color w:val="auto"/>
              </w:rPr>
              <w:t>ination</w:t>
            </w:r>
            <w:r w:rsidRPr="0099683F">
              <w:rPr>
                <w:color w:val="auto"/>
              </w:rPr>
              <w:t xml:space="preserve"> </w:t>
            </w:r>
            <w:r w:rsidR="006F3DD2">
              <w:rPr>
                <w:color w:val="auto"/>
              </w:rPr>
              <w:t xml:space="preserve">Testing </w:t>
            </w:r>
            <w:r w:rsidRPr="0099683F">
              <w:rPr>
                <w:color w:val="auto"/>
              </w:rPr>
              <w:t>Dates for the Class of 2020</w:t>
            </w:r>
          </w:p>
        </w:tc>
      </w:tr>
      <w:tr w:rsidR="005E558A" w:rsidRPr="0099683F" w14:paraId="651900AE" w14:textId="77777777" w:rsidTr="00742303">
        <w:trPr>
          <w:cnfStyle w:val="000000100000" w:firstRow="0" w:lastRow="0" w:firstColumn="0" w:lastColumn="0" w:oddVBand="0" w:evenVBand="0" w:oddHBand="1" w:evenHBand="0" w:firstRowFirstColumn="0" w:firstRowLastColumn="0" w:lastRowFirstColumn="0" w:lastRowLastColumn="0"/>
          <w:trHeight w:val="213"/>
          <w:jc w:val="center"/>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6519009E" w14:textId="77777777" w:rsidR="005E558A" w:rsidRPr="0099683F" w:rsidRDefault="005E558A" w:rsidP="00F60925">
            <w:pPr>
              <w:jc w:val="center"/>
              <w:rPr>
                <w:b w:val="0"/>
                <w:bCs w:val="0"/>
                <w:color w:val="000000" w:themeColor="text1"/>
              </w:rPr>
            </w:pPr>
            <w:r w:rsidRPr="0099683F">
              <w:rPr>
                <w:b w:val="0"/>
                <w:bCs w:val="0"/>
                <w:color w:val="000000" w:themeColor="text1"/>
              </w:rPr>
              <w:t>September 14, 2018</w:t>
            </w:r>
          </w:p>
          <w:p w14:paraId="6519009F" w14:textId="77777777" w:rsidR="005E558A" w:rsidRPr="0099683F" w:rsidRDefault="005E558A" w:rsidP="00F60925">
            <w:pPr>
              <w:jc w:val="center"/>
              <w:rPr>
                <w:b w:val="0"/>
                <w:bCs w:val="0"/>
                <w:color w:val="000000" w:themeColor="text1"/>
              </w:rPr>
            </w:pPr>
            <w:r w:rsidRPr="0099683F">
              <w:rPr>
                <w:b w:val="0"/>
                <w:bCs w:val="0"/>
                <w:color w:val="000000" w:themeColor="text1"/>
              </w:rPr>
              <w:t>September 28, 2018</w:t>
            </w:r>
            <w:r w:rsidR="009F0258">
              <w:rPr>
                <w:b w:val="0"/>
                <w:bCs w:val="0"/>
                <w:color w:val="000000" w:themeColor="text1"/>
              </w:rPr>
              <w:t xml:space="preserve"> </w:t>
            </w:r>
          </w:p>
          <w:p w14:paraId="651900A0" w14:textId="77777777" w:rsidR="005E558A" w:rsidRPr="0099683F" w:rsidRDefault="005E558A" w:rsidP="00F60925">
            <w:pPr>
              <w:jc w:val="center"/>
              <w:rPr>
                <w:b w:val="0"/>
                <w:bCs w:val="0"/>
                <w:color w:val="000000" w:themeColor="text1"/>
              </w:rPr>
            </w:pPr>
            <w:r w:rsidRPr="0099683F">
              <w:rPr>
                <w:b w:val="0"/>
                <w:bCs w:val="0"/>
                <w:color w:val="000000" w:themeColor="text1"/>
              </w:rPr>
              <w:t xml:space="preserve">October 12, 2018 </w:t>
            </w:r>
          </w:p>
          <w:p w14:paraId="651900A1" w14:textId="77777777" w:rsidR="005E558A" w:rsidRPr="0099683F" w:rsidRDefault="005E558A" w:rsidP="00F60925">
            <w:pPr>
              <w:jc w:val="center"/>
              <w:rPr>
                <w:b w:val="0"/>
                <w:bCs w:val="0"/>
                <w:color w:val="000000" w:themeColor="text1"/>
              </w:rPr>
            </w:pPr>
            <w:r w:rsidRPr="0099683F">
              <w:rPr>
                <w:b w:val="0"/>
                <w:bCs w:val="0"/>
                <w:color w:val="000000" w:themeColor="text1"/>
              </w:rPr>
              <w:t>October 26, 2018</w:t>
            </w:r>
          </w:p>
          <w:p w14:paraId="651900A2" w14:textId="77777777" w:rsidR="005E558A" w:rsidRPr="0099683F" w:rsidRDefault="005E558A" w:rsidP="00F60925">
            <w:pPr>
              <w:jc w:val="center"/>
              <w:rPr>
                <w:b w:val="0"/>
                <w:bCs w:val="0"/>
                <w:color w:val="000000" w:themeColor="text1"/>
              </w:rPr>
            </w:pPr>
            <w:r w:rsidRPr="0099683F">
              <w:rPr>
                <w:b w:val="0"/>
                <w:bCs w:val="0"/>
                <w:color w:val="000000" w:themeColor="text1"/>
              </w:rPr>
              <w:t xml:space="preserve">November 2, 2018 </w:t>
            </w:r>
          </w:p>
          <w:p w14:paraId="651900A3" w14:textId="77777777" w:rsidR="005E558A" w:rsidRPr="0099683F" w:rsidRDefault="005E558A" w:rsidP="00F60925">
            <w:pPr>
              <w:jc w:val="center"/>
              <w:rPr>
                <w:b w:val="0"/>
                <w:bCs w:val="0"/>
                <w:color w:val="000000" w:themeColor="text1"/>
              </w:rPr>
            </w:pPr>
            <w:r w:rsidRPr="0099683F">
              <w:rPr>
                <w:b w:val="0"/>
                <w:bCs w:val="0"/>
                <w:color w:val="000000" w:themeColor="text1"/>
              </w:rPr>
              <w:t xml:space="preserve">November 9, 2018 </w:t>
            </w:r>
          </w:p>
          <w:p w14:paraId="651900A4" w14:textId="77777777" w:rsidR="005E558A" w:rsidRPr="0099683F" w:rsidRDefault="005E558A" w:rsidP="00F60925">
            <w:pPr>
              <w:jc w:val="center"/>
              <w:rPr>
                <w:b w:val="0"/>
                <w:bCs w:val="0"/>
                <w:color w:val="000000" w:themeColor="text1"/>
              </w:rPr>
            </w:pPr>
            <w:r w:rsidRPr="0099683F">
              <w:rPr>
                <w:b w:val="0"/>
                <w:bCs w:val="0"/>
                <w:color w:val="000000" w:themeColor="text1"/>
              </w:rPr>
              <w:t>December 14, 2018</w:t>
            </w:r>
          </w:p>
          <w:p w14:paraId="651900A5" w14:textId="77777777" w:rsidR="005E558A" w:rsidRPr="0099683F" w:rsidRDefault="005E558A" w:rsidP="005E558A">
            <w:pPr>
              <w:jc w:val="center"/>
              <w:rPr>
                <w:b w:val="0"/>
                <w:bCs w:val="0"/>
                <w:color w:val="000000" w:themeColor="text1"/>
              </w:rPr>
            </w:pPr>
            <w:r w:rsidRPr="0099683F">
              <w:rPr>
                <w:b w:val="0"/>
                <w:bCs w:val="0"/>
                <w:color w:val="000000" w:themeColor="text1"/>
              </w:rPr>
              <w:t xml:space="preserve">December 21, 2018 </w:t>
            </w:r>
          </w:p>
        </w:tc>
        <w:tc>
          <w:tcPr>
            <w:tcW w:w="2500" w:type="pct"/>
            <w:shd w:val="clear" w:color="auto" w:fill="auto"/>
          </w:tcPr>
          <w:p w14:paraId="651900A6" w14:textId="77777777" w:rsidR="005E558A" w:rsidRPr="0099683F" w:rsidRDefault="005E558A" w:rsidP="005E558A">
            <w:pPr>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rsidRPr="0099683F">
              <w:rPr>
                <w:color w:val="000000" w:themeColor="text1"/>
              </w:rPr>
              <w:t xml:space="preserve">January 11, 2019 </w:t>
            </w:r>
          </w:p>
          <w:p w14:paraId="651900A7" w14:textId="77777777" w:rsidR="005E558A" w:rsidRPr="0099683F" w:rsidRDefault="005E558A" w:rsidP="005E558A">
            <w:pPr>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rsidRPr="0099683F">
              <w:rPr>
                <w:color w:val="000000" w:themeColor="text1"/>
              </w:rPr>
              <w:t>January 18, 2019</w:t>
            </w:r>
            <w:r w:rsidR="009F0258">
              <w:rPr>
                <w:b/>
                <w:bCs/>
                <w:color w:val="000000" w:themeColor="text1"/>
              </w:rPr>
              <w:t xml:space="preserve"> </w:t>
            </w:r>
          </w:p>
          <w:p w14:paraId="651900A8" w14:textId="77777777" w:rsidR="005E558A" w:rsidRPr="0099683F" w:rsidRDefault="005E558A" w:rsidP="005E558A">
            <w:pPr>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rsidRPr="0099683F">
              <w:rPr>
                <w:color w:val="000000" w:themeColor="text1"/>
              </w:rPr>
              <w:t xml:space="preserve">February 1, 2019 </w:t>
            </w:r>
          </w:p>
          <w:p w14:paraId="651900A9" w14:textId="77777777" w:rsidR="005E558A" w:rsidRPr="005E0289" w:rsidRDefault="005E558A" w:rsidP="005E558A">
            <w:pPr>
              <w:jc w:val="center"/>
              <w:cnfStyle w:val="000000100000" w:firstRow="0" w:lastRow="0" w:firstColumn="0" w:lastColumn="0" w:oddVBand="0" w:evenVBand="0" w:oddHBand="1" w:evenHBand="0" w:firstRowFirstColumn="0" w:firstRowLastColumn="0" w:lastRowFirstColumn="0" w:lastRowLastColumn="0"/>
              <w:rPr>
                <w:b/>
                <w:bCs/>
              </w:rPr>
            </w:pPr>
            <w:r w:rsidRPr="005E0289">
              <w:t xml:space="preserve">February 8, 2019 </w:t>
            </w:r>
            <w:r w:rsidR="005E0289" w:rsidRPr="005E0289">
              <w:t>(</w:t>
            </w:r>
            <w:r w:rsidRPr="005E0289">
              <w:t>FM Aquifer Test</w:t>
            </w:r>
            <w:r w:rsidR="005E0289" w:rsidRPr="005E0289">
              <w:t>)</w:t>
            </w:r>
            <w:r w:rsidRPr="005E0289">
              <w:t xml:space="preserve"> </w:t>
            </w:r>
          </w:p>
          <w:p w14:paraId="651900AA" w14:textId="77777777" w:rsidR="005E558A" w:rsidRPr="0099683F" w:rsidRDefault="005E558A" w:rsidP="005E558A">
            <w:pPr>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rsidRPr="0099683F">
              <w:rPr>
                <w:color w:val="000000" w:themeColor="text1"/>
              </w:rPr>
              <w:t>February 15, 2019</w:t>
            </w:r>
            <w:r w:rsidR="009F0258">
              <w:rPr>
                <w:b/>
                <w:bCs/>
                <w:color w:val="000000" w:themeColor="text1"/>
              </w:rPr>
              <w:t xml:space="preserve"> </w:t>
            </w:r>
          </w:p>
          <w:p w14:paraId="651900AB" w14:textId="77777777" w:rsidR="005E558A" w:rsidRPr="0099683F" w:rsidRDefault="005E558A" w:rsidP="005E558A">
            <w:pPr>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rsidRPr="0099683F">
              <w:rPr>
                <w:color w:val="000000" w:themeColor="text1"/>
              </w:rPr>
              <w:t>March 1, 2019</w:t>
            </w:r>
          </w:p>
          <w:p w14:paraId="651900AC" w14:textId="77777777" w:rsidR="005E558A" w:rsidRPr="0099683F" w:rsidRDefault="005E558A" w:rsidP="005E558A">
            <w:pPr>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rsidRPr="0099683F">
              <w:rPr>
                <w:color w:val="000000" w:themeColor="text1"/>
              </w:rPr>
              <w:t>March 29, 2019</w:t>
            </w:r>
            <w:r w:rsidRPr="0099683F">
              <w:rPr>
                <w:b/>
                <w:bCs/>
                <w:color w:val="000000" w:themeColor="text1"/>
              </w:rPr>
              <w:t xml:space="preserve"> </w:t>
            </w:r>
          </w:p>
          <w:p w14:paraId="651900AD" w14:textId="77777777" w:rsidR="005E558A" w:rsidRPr="0099683F" w:rsidRDefault="005E558A" w:rsidP="005E558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9683F">
              <w:rPr>
                <w:color w:val="000000" w:themeColor="text1"/>
              </w:rPr>
              <w:t>April 12, 2019</w:t>
            </w:r>
          </w:p>
        </w:tc>
      </w:tr>
    </w:tbl>
    <w:p w14:paraId="651900AF" w14:textId="77777777" w:rsidR="00742303" w:rsidRDefault="00742303" w:rsidP="008C5508">
      <w:pPr>
        <w:pStyle w:val="NoSpacing"/>
        <w:rPr>
          <w:color w:val="auto"/>
        </w:rPr>
      </w:pPr>
      <w:r w:rsidRPr="003F6164">
        <w:t>Successful completion of all LIC related coursework and NBME Subject Exam</w:t>
      </w:r>
      <w:r w:rsidR="006F3DD2">
        <w:t>inations</w:t>
      </w:r>
      <w:r w:rsidRPr="003F6164">
        <w:t xml:space="preserve"> will be required prior to participating in the </w:t>
      </w:r>
      <w:r w:rsidR="006F3DD2">
        <w:t>s</w:t>
      </w:r>
      <w:r>
        <w:t>econd</w:t>
      </w:r>
      <w:r w:rsidR="009F0258">
        <w:t xml:space="preserve"> flextime</w:t>
      </w:r>
      <w:r w:rsidR="006F3DD2">
        <w:t xml:space="preserve"> e</w:t>
      </w:r>
      <w:r w:rsidRPr="003F6164">
        <w:t>lective.</w:t>
      </w:r>
      <w:r>
        <w:t xml:space="preserve"> </w:t>
      </w:r>
    </w:p>
    <w:p w14:paraId="651900B0" w14:textId="77777777" w:rsidR="00C10C0D" w:rsidRPr="00227922" w:rsidRDefault="00AF6117" w:rsidP="00571C57">
      <w:pPr>
        <w:pStyle w:val="Heading2"/>
        <w:rPr>
          <w:rStyle w:val="Heading2Char"/>
          <w:b/>
          <w:i/>
        </w:rPr>
      </w:pPr>
      <w:bookmarkStart w:id="13" w:name="_Toc516767135"/>
      <w:r w:rsidRPr="00227922">
        <w:t xml:space="preserve">NBME </w:t>
      </w:r>
      <w:r w:rsidR="00E84A69" w:rsidRPr="00227922">
        <w:t>Practice Exam</w:t>
      </w:r>
      <w:r w:rsidR="00C10C0D" w:rsidRPr="00227922">
        <w:rPr>
          <w:rStyle w:val="Heading2Char"/>
          <w:b/>
          <w:i/>
        </w:rPr>
        <w:t>s</w:t>
      </w:r>
      <w:bookmarkEnd w:id="13"/>
    </w:p>
    <w:p w14:paraId="651900B1" w14:textId="77777777" w:rsidR="00E84A69" w:rsidRDefault="00E84A69" w:rsidP="005E0289">
      <w:pPr>
        <w:pStyle w:val="NoSpacing"/>
      </w:pPr>
      <w:r>
        <w:t xml:space="preserve">NBME </w:t>
      </w:r>
      <w:r w:rsidR="00C10C0D">
        <w:t>Clinical Science Self-Assessments (</w:t>
      </w:r>
      <w:r>
        <w:t>Practice Exams</w:t>
      </w:r>
      <w:r w:rsidR="00C10C0D">
        <w:t>)</w:t>
      </w:r>
      <w:r>
        <w:t xml:space="preserve"> are available for purchase to allow students </w:t>
      </w:r>
      <w:r w:rsidR="00AF6117">
        <w:t>a</w:t>
      </w:r>
      <w:r w:rsidR="002E39B0">
        <w:t>n opportunity</w:t>
      </w:r>
      <w:r w:rsidR="00AF6117">
        <w:t xml:space="preserve"> to gauge their clinical knowledge before an exam.</w:t>
      </w:r>
      <w:r w:rsidR="005E0289">
        <w:t xml:space="preserve"> </w:t>
      </w:r>
      <w:r w:rsidR="00AF6117" w:rsidRPr="00731155">
        <w:t xml:space="preserve">Please discuss the appropriate </w:t>
      </w:r>
      <w:r w:rsidR="00AF6117" w:rsidRPr="00731155">
        <w:lastRenderedPageBreak/>
        <w:t>use of this resource with Dr. Spence</w:t>
      </w:r>
      <w:r w:rsidR="00AC3E9D">
        <w:t xml:space="preserve"> or </w:t>
      </w:r>
      <w:r w:rsidR="005C1FEC">
        <w:t xml:space="preserve">Dr. </w:t>
      </w:r>
      <w:r w:rsidR="007A2F0A">
        <w:t xml:space="preserve">Speights </w:t>
      </w:r>
      <w:r w:rsidR="00AF6117" w:rsidRPr="00731155">
        <w:t>prior to purchase.</w:t>
      </w:r>
    </w:p>
    <w:p w14:paraId="651900B2" w14:textId="77777777" w:rsidR="00C10C0D" w:rsidRDefault="00435544" w:rsidP="00571C57">
      <w:pPr>
        <w:pStyle w:val="Heading2"/>
      </w:pPr>
      <w:bookmarkStart w:id="14" w:name="_Toc516767136"/>
      <w:r w:rsidRPr="00420764">
        <w:t>Grades</w:t>
      </w:r>
      <w:bookmarkEnd w:id="14"/>
    </w:p>
    <w:p w14:paraId="651900B3" w14:textId="77777777" w:rsidR="008E30D3" w:rsidRDefault="003F6164" w:rsidP="008C5508">
      <w:pPr>
        <w:pStyle w:val="NoSpacing"/>
      </w:pPr>
      <w:r>
        <w:t>S</w:t>
      </w:r>
      <w:r w:rsidR="00B41D4D">
        <w:t>tudents can expect to</w:t>
      </w:r>
      <w:r w:rsidR="00435544">
        <w:t xml:space="preserve"> receive “I” </w:t>
      </w:r>
      <w:r w:rsidR="002D2590">
        <w:t xml:space="preserve">grades at the end of both </w:t>
      </w:r>
      <w:r w:rsidR="00B41D4D" w:rsidRPr="005E0289">
        <w:t>First</w:t>
      </w:r>
      <w:r w:rsidR="006F692E" w:rsidRPr="005E0289">
        <w:t xml:space="preserve"> </w:t>
      </w:r>
      <w:r w:rsidR="002D2590" w:rsidRPr="005E0289">
        <w:t>and Second</w:t>
      </w:r>
      <w:r w:rsidR="00435544" w:rsidRPr="005E0289">
        <w:t xml:space="preserve"> Semesters</w:t>
      </w:r>
      <w:r w:rsidR="00435544">
        <w:t xml:space="preserve">, and will receive a final grade for each clerkship at the end </w:t>
      </w:r>
      <w:r w:rsidR="00C27B40">
        <w:t xml:space="preserve">of the official </w:t>
      </w:r>
      <w:r w:rsidR="00B41D4D">
        <w:t xml:space="preserve">University </w:t>
      </w:r>
      <w:r w:rsidR="00435544">
        <w:t>Spring Semester.</w:t>
      </w:r>
      <w:r w:rsidR="00C54EA4">
        <w:t xml:space="preserve"> </w:t>
      </w:r>
      <w:r w:rsidR="00B41D4D">
        <w:t>Final grades for clerkships taken in the First Semester ma</w:t>
      </w:r>
      <w:r w:rsidR="006F3DD2">
        <w:t>y occasionally be posted after w</w:t>
      </w:r>
      <w:r w:rsidR="00B41D4D">
        <w:t xml:space="preserve">inter </w:t>
      </w:r>
      <w:r w:rsidR="006F3DD2">
        <w:t>b</w:t>
      </w:r>
      <w:r w:rsidR="00B41D4D">
        <w:t>reak.</w:t>
      </w:r>
      <w:r w:rsidR="00BB3123">
        <w:t xml:space="preserve"> </w:t>
      </w:r>
      <w:r w:rsidR="008E30D3">
        <w:t>Clerkship grades will be assigned based on the rubrics contained within the syllabus for that clerkship.</w:t>
      </w:r>
      <w:r w:rsidR="00C54EA4">
        <w:t xml:space="preserve"> </w:t>
      </w:r>
      <w:r w:rsidR="008E30D3">
        <w:t>Any questions regarding grading should be addressed to the Education Director for that course.</w:t>
      </w:r>
      <w:r w:rsidR="00C54EA4">
        <w:t xml:space="preserve"> </w:t>
      </w:r>
      <w:r w:rsidR="008E30D3">
        <w:t xml:space="preserve">If a student would like to appeal an assigned </w:t>
      </w:r>
      <w:r w:rsidR="00BE1218">
        <w:t>clerkship grade,</w:t>
      </w:r>
      <w:r w:rsidR="008E30D3">
        <w:t xml:space="preserve"> they should consult the grade appeals policy and procedures located </w:t>
      </w:r>
      <w:r w:rsidR="005E0289">
        <w:t xml:space="preserve">in the </w:t>
      </w:r>
      <w:hyperlink r:id="rId17" w:history="1">
        <w:r w:rsidR="005E0289" w:rsidRPr="005A2B18">
          <w:rPr>
            <w:rStyle w:val="Hyperlink"/>
          </w:rPr>
          <w:t>Student Handbook</w:t>
        </w:r>
        <w:r w:rsidR="008E30D3" w:rsidRPr="005A2B18">
          <w:rPr>
            <w:rStyle w:val="Hyperlink"/>
          </w:rPr>
          <w:t>.</w:t>
        </w:r>
      </w:hyperlink>
      <w:r w:rsidR="00C54EA4">
        <w:t xml:space="preserve"> </w:t>
      </w:r>
    </w:p>
    <w:p w14:paraId="651900B4" w14:textId="77777777" w:rsidR="00C10C0D" w:rsidRPr="00227922" w:rsidRDefault="00435544" w:rsidP="00571C57">
      <w:pPr>
        <w:pStyle w:val="Heading2"/>
        <w:rPr>
          <w:rStyle w:val="Heading2Char"/>
          <w:b/>
          <w:i/>
        </w:rPr>
      </w:pPr>
      <w:bookmarkStart w:id="15" w:name="_Toc516767137"/>
      <w:r w:rsidRPr="00227922">
        <w:rPr>
          <w:rStyle w:val="Heading2Char"/>
          <w:b/>
          <w:i/>
        </w:rPr>
        <w:t>D</w:t>
      </w:r>
      <w:r w:rsidR="006F3DD2">
        <w:rPr>
          <w:rStyle w:val="Heading2Char"/>
          <w:b/>
          <w:i/>
        </w:rPr>
        <w:t xml:space="preserve">octoring </w:t>
      </w:r>
      <w:r w:rsidRPr="00227922">
        <w:rPr>
          <w:rStyle w:val="Heading2Char"/>
          <w:b/>
          <w:i/>
        </w:rPr>
        <w:t>3</w:t>
      </w:r>
      <w:r w:rsidR="00B41D4D" w:rsidRPr="00227922">
        <w:rPr>
          <w:rStyle w:val="Heading2Char"/>
          <w:b/>
          <w:i/>
        </w:rPr>
        <w:t>/Longitudinal</w:t>
      </w:r>
      <w:bookmarkEnd w:id="15"/>
    </w:p>
    <w:p w14:paraId="651900B5" w14:textId="77777777" w:rsidR="00435544" w:rsidRPr="00B41D4D" w:rsidRDefault="00435544" w:rsidP="008C5508">
      <w:pPr>
        <w:pStyle w:val="NoSpacing"/>
      </w:pPr>
      <w:r>
        <w:t xml:space="preserve">Most </w:t>
      </w:r>
      <w:r w:rsidR="006F3DD2">
        <w:t>D3 D</w:t>
      </w:r>
      <w:r>
        <w:t>idactic sessions will be f</w:t>
      </w:r>
      <w:r w:rsidR="00070854">
        <w:t>acilitated by the LIC Clerkship</w:t>
      </w:r>
      <w:r>
        <w:t xml:space="preserve"> Administ</w:t>
      </w:r>
      <w:r w:rsidR="00B41D4D">
        <w:t>rator at Jackson Hospital</w:t>
      </w:r>
      <w:r>
        <w:t xml:space="preserve">. Occasionally, students will travel to the Tallahassee Regional Campus for a D3 session. </w:t>
      </w:r>
      <w:r w:rsidRPr="00B41D4D">
        <w:t xml:space="preserve">There is no separate clinical Longitudinal Experience requirement for students completing D3 as part of the LIC. Students participating in D3 as part </w:t>
      </w:r>
      <w:r w:rsidR="00845535">
        <w:t xml:space="preserve">of </w:t>
      </w:r>
      <w:r w:rsidR="00845535">
        <w:lastRenderedPageBreak/>
        <w:t>the LIC will complete</w:t>
      </w:r>
      <w:r w:rsidRPr="00B41D4D">
        <w:t xml:space="preserve"> the </w:t>
      </w:r>
      <w:r w:rsidR="005E0289">
        <w:t xml:space="preserve">Quality Improvement (QI) </w:t>
      </w:r>
      <w:r w:rsidR="00845535">
        <w:t>group project</w:t>
      </w:r>
      <w:r w:rsidR="00AF4E3A" w:rsidRPr="00B41D4D">
        <w:t xml:space="preserve"> required by the D3 syllabus.</w:t>
      </w:r>
      <w:r w:rsidRPr="00B41D4D">
        <w:t xml:space="preserve"> </w:t>
      </w:r>
    </w:p>
    <w:p w14:paraId="651900B6" w14:textId="77777777" w:rsidR="00C10C0D" w:rsidRPr="00227922" w:rsidRDefault="00C10C0D" w:rsidP="00571C57">
      <w:pPr>
        <w:pStyle w:val="Heading2"/>
        <w:rPr>
          <w:rStyle w:val="Heading2Char"/>
          <w:b/>
          <w:i/>
        </w:rPr>
      </w:pPr>
      <w:bookmarkStart w:id="16" w:name="_Toc516767138"/>
      <w:r w:rsidRPr="00227922">
        <w:rPr>
          <w:rStyle w:val="Heading2Char"/>
          <w:b/>
          <w:i/>
        </w:rPr>
        <w:t>C</w:t>
      </w:r>
      <w:r w:rsidR="00435544" w:rsidRPr="00227922">
        <w:rPr>
          <w:rStyle w:val="Heading2Char"/>
          <w:b/>
          <w:i/>
        </w:rPr>
        <w:t>ommunity Medicine</w:t>
      </w:r>
      <w:bookmarkEnd w:id="16"/>
    </w:p>
    <w:p w14:paraId="651900B7" w14:textId="77777777" w:rsidR="00435544" w:rsidRPr="009D2706" w:rsidRDefault="00435544" w:rsidP="008C5508">
      <w:pPr>
        <w:pStyle w:val="NoSpacing"/>
        <w:rPr>
          <w:b/>
          <w:u w:val="single"/>
        </w:rPr>
      </w:pPr>
      <w:r>
        <w:t>Students will be enrolled in Community Medicine during t</w:t>
      </w:r>
      <w:r w:rsidR="003A4582">
        <w:t xml:space="preserve">he first </w:t>
      </w:r>
      <w:r w:rsidR="00257366">
        <w:t xml:space="preserve">2 </w:t>
      </w:r>
      <w:r w:rsidR="00070854">
        <w:t xml:space="preserve">weeks </w:t>
      </w:r>
      <w:r w:rsidR="003A4582">
        <w:t xml:space="preserve">of the LIC, </w:t>
      </w:r>
      <w:r>
        <w:t>and will complete the C</w:t>
      </w:r>
      <w:r w:rsidR="00070854">
        <w:t>ommunity Medicine requirements prior to the start of the LIC Bootcamp and the First Semester</w:t>
      </w:r>
      <w:r w:rsidR="003A4582">
        <w:t xml:space="preserve">. The available agencies from Community Medicine include – Florida Department of Health, Kindred Home Health, </w:t>
      </w:r>
      <w:r w:rsidR="00ED546B">
        <w:t>Covenant</w:t>
      </w:r>
      <w:r w:rsidR="003A4582">
        <w:t xml:space="preserve"> Hospice, and Jackson County Fire and Rescue.</w:t>
      </w:r>
      <w:r w:rsidR="00C54EA4">
        <w:t xml:space="preserve"> </w:t>
      </w:r>
      <w:r w:rsidR="005E0289">
        <w:t xml:space="preserve">The </w:t>
      </w:r>
      <w:r w:rsidR="003A4582" w:rsidRPr="005E0289">
        <w:rPr>
          <w:b/>
        </w:rPr>
        <w:t>required</w:t>
      </w:r>
      <w:r w:rsidR="003A4582" w:rsidRPr="005E0289">
        <w:t xml:space="preserve"> Community Medicine p</w:t>
      </w:r>
      <w:r w:rsidR="00B41D4D" w:rsidRPr="005E0289">
        <w:t>resentation will take place o</w:t>
      </w:r>
      <w:r w:rsidR="003366B4" w:rsidRPr="005E0289">
        <w:t>n</w:t>
      </w:r>
      <w:r w:rsidR="005E0289">
        <w:t xml:space="preserve"> the afternoon of </w:t>
      </w:r>
      <w:r w:rsidR="005E0289" w:rsidRPr="005E0289">
        <w:rPr>
          <w:b/>
        </w:rPr>
        <w:t>Friday June 15.</w:t>
      </w:r>
    </w:p>
    <w:p w14:paraId="651900B8" w14:textId="77777777" w:rsidR="00227922" w:rsidRPr="00AA0CA6" w:rsidRDefault="00420764" w:rsidP="00571C57">
      <w:pPr>
        <w:pStyle w:val="Heading2"/>
        <w:rPr>
          <w:rStyle w:val="Heading2Char"/>
          <w:b/>
          <w:i/>
        </w:rPr>
      </w:pPr>
      <w:bookmarkStart w:id="17" w:name="_Toc516767139"/>
      <w:r w:rsidRPr="00AA0CA6">
        <w:rPr>
          <w:rStyle w:val="Heading2Char"/>
          <w:b/>
          <w:i/>
        </w:rPr>
        <w:t>White Space</w:t>
      </w:r>
      <w:bookmarkEnd w:id="17"/>
    </w:p>
    <w:p w14:paraId="651900B9" w14:textId="77777777" w:rsidR="001654CC" w:rsidRPr="001654CC" w:rsidRDefault="00420764" w:rsidP="00D049D7">
      <w:pPr>
        <w:pStyle w:val="NoSpacing"/>
        <w:rPr>
          <w:b/>
          <w:u w:val="single"/>
        </w:rPr>
      </w:pPr>
      <w:r>
        <w:t>Throughout the year, each student will be assigned three (3) half-day blocks of independent learning or “white space” time</w:t>
      </w:r>
      <w:r w:rsidR="00443E0C">
        <w:t xml:space="preserve"> per week</w:t>
      </w:r>
      <w:r>
        <w:t>.</w:t>
      </w:r>
      <w:r w:rsidR="00C27B40">
        <w:t xml:space="preserve"> White space time </w:t>
      </w:r>
      <w:r w:rsidR="00DD68DA">
        <w:t>is</w:t>
      </w:r>
      <w:r w:rsidR="00C27B40">
        <w:t xml:space="preserve"> designated</w:t>
      </w:r>
      <w:r w:rsidR="00DD68DA">
        <w:t xml:space="preserve"> for </w:t>
      </w:r>
      <w:r w:rsidR="00DD68DA" w:rsidRPr="00D049D7">
        <w:rPr>
          <w:b/>
        </w:rPr>
        <w:t>experiential learning</w:t>
      </w:r>
      <w:r>
        <w:t xml:space="preserve"> </w:t>
      </w:r>
      <w:r w:rsidR="00DD68DA">
        <w:t>(not reading/study time).</w:t>
      </w:r>
      <w:r w:rsidR="009F0258">
        <w:t xml:space="preserve"> </w:t>
      </w:r>
      <w:r>
        <w:t>The idea o</w:t>
      </w:r>
      <w:r w:rsidR="001A4A2F">
        <w:t>f white space is to allow the</w:t>
      </w:r>
      <w:r>
        <w:t xml:space="preserve"> student to </w:t>
      </w:r>
      <w:r w:rsidR="00DE1E22">
        <w:t xml:space="preserve">somewhat </w:t>
      </w:r>
      <w:r>
        <w:t>individualize their learning experience while still meeting the rigorous demands of third year.</w:t>
      </w:r>
      <w:r w:rsidR="00C54EA4">
        <w:t xml:space="preserve"> </w:t>
      </w:r>
      <w:r>
        <w:t>Student</w:t>
      </w:r>
      <w:r w:rsidR="00DE1E22">
        <w:t>s</w:t>
      </w:r>
      <w:r>
        <w:t xml:space="preserve"> will be able to identify </w:t>
      </w:r>
      <w:r>
        <w:lastRenderedPageBreak/>
        <w:t>and participate in activitie</w:t>
      </w:r>
      <w:r w:rsidR="00D049D7">
        <w:t>s within the hospital</w:t>
      </w:r>
      <w:r>
        <w:t xml:space="preserve"> or a private physician’s off</w:t>
      </w:r>
      <w:r w:rsidR="00642477">
        <w:t>ice</w:t>
      </w:r>
      <w:r w:rsidR="00443E0C">
        <w:t xml:space="preserve"> of their choosing</w:t>
      </w:r>
      <w:r w:rsidR="00642477">
        <w:t>.</w:t>
      </w:r>
      <w:r w:rsidR="00C54EA4">
        <w:t xml:space="preserve"> </w:t>
      </w:r>
      <w:r w:rsidR="005D0998">
        <w:t>The Clerkship</w:t>
      </w:r>
      <w:r w:rsidR="00642477">
        <w:t xml:space="preserve"> Administrator</w:t>
      </w:r>
      <w:r w:rsidR="001654CC">
        <w:t xml:space="preserve"> will provide guidance as to appropriate activities to fill the time.</w:t>
      </w:r>
      <w:r w:rsidR="00C54EA4">
        <w:t xml:space="preserve"> </w:t>
      </w:r>
      <w:r w:rsidR="001654CC" w:rsidRPr="00D049D7">
        <w:rPr>
          <w:b/>
        </w:rPr>
        <w:t>Students are not limited to one activity per half day, but must spend at least 1 hour in each activity.</w:t>
      </w:r>
      <w:r w:rsidR="00C54EA4">
        <w:t xml:space="preserve"> </w:t>
      </w:r>
      <w:r w:rsidR="001654CC">
        <w:t xml:space="preserve">Acceptable </w:t>
      </w:r>
      <w:r w:rsidR="00DE1E22">
        <w:t xml:space="preserve">ideas for </w:t>
      </w:r>
      <w:r w:rsidR="001654CC">
        <w:t>activities include</w:t>
      </w:r>
      <w:r w:rsidR="00DE1E22">
        <w:t xml:space="preserve"> (but are not limited to)</w:t>
      </w:r>
      <w:r w:rsidR="001654CC">
        <w:t xml:space="preserve"> – ER,</w:t>
      </w:r>
      <w:r w:rsidR="003A4582">
        <w:t xml:space="preserve"> OR, L&amp;D, Radiology, Lab, Special Care Unit, Nursery</w:t>
      </w:r>
      <w:r w:rsidR="001654CC">
        <w:t xml:space="preserve">, </w:t>
      </w:r>
      <w:r w:rsidR="003A4582">
        <w:t>and e</w:t>
      </w:r>
      <w:r w:rsidR="001654CC">
        <w:t xml:space="preserve">xtended </w:t>
      </w:r>
      <w:r w:rsidR="003A4582">
        <w:t>o</w:t>
      </w:r>
      <w:r w:rsidR="001654CC">
        <w:t xml:space="preserve">ffice </w:t>
      </w:r>
      <w:r w:rsidR="003A4582">
        <w:t>h</w:t>
      </w:r>
      <w:r w:rsidR="001654CC">
        <w:t>ours w/</w:t>
      </w:r>
      <w:r w:rsidR="002F6495">
        <w:t xml:space="preserve"> </w:t>
      </w:r>
      <w:r w:rsidR="001654CC">
        <w:t xml:space="preserve">Attending for interesting cases. </w:t>
      </w:r>
      <w:r w:rsidR="00DE1E22">
        <w:t xml:space="preserve">If there is a question about a potential white space activity, please contact Dr. Spence or </w:t>
      </w:r>
      <w:r w:rsidR="005A2B18">
        <w:t xml:space="preserve">Dr. </w:t>
      </w:r>
      <w:r w:rsidR="00DE1E22">
        <w:t>Speights.</w:t>
      </w:r>
    </w:p>
    <w:p w14:paraId="651900BA" w14:textId="77777777" w:rsidR="001D5D6E" w:rsidRDefault="001654CC" w:rsidP="008C5508">
      <w:pPr>
        <w:pStyle w:val="NoSpacing"/>
      </w:pPr>
      <w:r w:rsidRPr="00D049D7">
        <w:rPr>
          <w:b/>
        </w:rPr>
        <w:t>Documentation of white space activities is expected and require</w:t>
      </w:r>
      <w:r w:rsidR="00D049D7">
        <w:rPr>
          <w:b/>
        </w:rPr>
        <w:t>d</w:t>
      </w:r>
      <w:r w:rsidR="005A2B18">
        <w:rPr>
          <w:b/>
        </w:rPr>
        <w:t xml:space="preserve">.  </w:t>
      </w:r>
      <w:r w:rsidR="00B4657A" w:rsidRPr="003A4582">
        <w:t>The</w:t>
      </w:r>
      <w:r w:rsidR="00B4657A" w:rsidRPr="00B4657A">
        <w:t xml:space="preserve"> activities for each half day </w:t>
      </w:r>
      <w:r w:rsidR="005A2B18">
        <w:t>will be documented in</w:t>
      </w:r>
      <w:r w:rsidR="00B4657A" w:rsidRPr="00B41D4D">
        <w:t xml:space="preserve"> </w:t>
      </w:r>
      <w:r w:rsidR="00B41D4D">
        <w:t>the Encounter Tracking System</w:t>
      </w:r>
      <w:r w:rsidR="00B000EF">
        <w:t xml:space="preserve"> (ETS)</w:t>
      </w:r>
      <w:r w:rsidR="00B4657A" w:rsidRPr="00B4657A">
        <w:t>.</w:t>
      </w:r>
      <w:r w:rsidR="00C54EA4">
        <w:t xml:space="preserve"> </w:t>
      </w:r>
      <w:r w:rsidR="005A2B18">
        <w:t>The Office of Medicine E</w:t>
      </w:r>
      <w:r w:rsidR="00D049D7">
        <w:t xml:space="preserve">ducation will provide instructions </w:t>
      </w:r>
      <w:r w:rsidR="005A2B18">
        <w:t xml:space="preserve">and support </w:t>
      </w:r>
      <w:r w:rsidR="00D049D7">
        <w:t xml:space="preserve">for documentation of independent learning activities. </w:t>
      </w:r>
      <w:r w:rsidR="005A2B18">
        <w:t>One entry</w:t>
      </w:r>
      <w:r w:rsidR="00B4657A" w:rsidRPr="00256532">
        <w:t xml:space="preserve"> per half day is required.</w:t>
      </w:r>
      <w:r w:rsidR="00C54EA4">
        <w:t xml:space="preserve"> </w:t>
      </w:r>
      <w:r w:rsidR="005A2B18">
        <w:t xml:space="preserve">There could be more than one </w:t>
      </w:r>
      <w:r w:rsidR="00B4657A">
        <w:t xml:space="preserve">if </w:t>
      </w:r>
      <w:r w:rsidR="00D049D7">
        <w:t xml:space="preserve">there are </w:t>
      </w:r>
      <w:r w:rsidR="00B4657A">
        <w:t xml:space="preserve">multiple experiences </w:t>
      </w:r>
      <w:r w:rsidR="00D049D7">
        <w:t xml:space="preserve">in </w:t>
      </w:r>
      <w:r w:rsidR="00B4657A">
        <w:t xml:space="preserve">that half day (e.g. </w:t>
      </w:r>
      <w:r w:rsidR="00B000EF">
        <w:t>1</w:t>
      </w:r>
      <w:r w:rsidR="001D5D6E">
        <w:t>:00</w:t>
      </w:r>
      <w:r w:rsidR="00B000EF">
        <w:t>-2:30</w:t>
      </w:r>
      <w:r w:rsidR="001D5D6E">
        <w:t xml:space="preserve"> pm</w:t>
      </w:r>
      <w:r w:rsidR="00B000EF">
        <w:t xml:space="preserve"> in Radiology with Dr. Campbell</w:t>
      </w:r>
      <w:r w:rsidR="00B4657A">
        <w:t>, 2:30</w:t>
      </w:r>
      <w:r w:rsidR="001D5D6E">
        <w:t>-</w:t>
      </w:r>
      <w:r w:rsidR="00B4657A">
        <w:t>5</w:t>
      </w:r>
      <w:r w:rsidR="001D5D6E">
        <w:t>:00 pm</w:t>
      </w:r>
      <w:r w:rsidR="00B4657A">
        <w:t xml:space="preserve"> in ER with Dr. Harris).</w:t>
      </w:r>
      <w:r w:rsidR="00C54EA4">
        <w:t xml:space="preserve"> </w:t>
      </w:r>
      <w:r w:rsidR="00DE1E22">
        <w:t>Educational time spent with Faculty outside of assigned office and hospital time (</w:t>
      </w:r>
      <w:r w:rsidR="00731155">
        <w:t>e.g.</w:t>
      </w:r>
      <w:r w:rsidR="00DE1E22">
        <w:t xml:space="preserve"> Peds Lectures with Dr. Bosse) will also need to be documented as White Space time.</w:t>
      </w:r>
      <w:r w:rsidR="00B4657A">
        <w:t xml:space="preserve"> </w:t>
      </w:r>
    </w:p>
    <w:p w14:paraId="651900BB" w14:textId="77777777" w:rsidR="00B4657A" w:rsidRDefault="005A2B18" w:rsidP="008C5508">
      <w:pPr>
        <w:pStyle w:val="NoSpacing"/>
        <w:rPr>
          <w:i/>
          <w:color w:val="auto"/>
        </w:rPr>
      </w:pPr>
      <w:r>
        <w:rPr>
          <w:i/>
          <w:color w:val="auto"/>
        </w:rPr>
        <w:lastRenderedPageBreak/>
        <w:t>Entry</w:t>
      </w:r>
      <w:r w:rsidR="00B4657A" w:rsidRPr="00D049D7">
        <w:rPr>
          <w:i/>
          <w:color w:val="auto"/>
        </w:rPr>
        <w:t xml:space="preserve"> of full white space documentation for each week to </w:t>
      </w:r>
      <w:r w:rsidR="00B000EF" w:rsidRPr="00D049D7">
        <w:rPr>
          <w:i/>
          <w:color w:val="auto"/>
        </w:rPr>
        <w:t>ETS</w:t>
      </w:r>
      <w:r w:rsidR="00B4657A" w:rsidRPr="00D049D7">
        <w:rPr>
          <w:b/>
          <w:i/>
          <w:color w:val="auto"/>
        </w:rPr>
        <w:t xml:space="preserve"> </w:t>
      </w:r>
      <w:r w:rsidR="00B4657A" w:rsidRPr="00D049D7">
        <w:rPr>
          <w:i/>
          <w:color w:val="auto"/>
        </w:rPr>
        <w:t xml:space="preserve">is required </w:t>
      </w:r>
      <w:r w:rsidR="00DE1E22" w:rsidRPr="00D049D7">
        <w:rPr>
          <w:i/>
          <w:color w:val="auto"/>
        </w:rPr>
        <w:t xml:space="preserve">by 5PM on the Sunday </w:t>
      </w:r>
      <w:r w:rsidR="00B4657A" w:rsidRPr="00D049D7">
        <w:rPr>
          <w:i/>
          <w:color w:val="auto"/>
        </w:rPr>
        <w:t xml:space="preserve">following the activity. </w:t>
      </w:r>
      <w:r w:rsidR="00DE1E22" w:rsidRPr="00D049D7">
        <w:rPr>
          <w:i/>
          <w:color w:val="auto"/>
        </w:rPr>
        <w:t>These documents will be evaluated by the Director of Rural Medical Education weekly for appropriateness, and completeness.</w:t>
      </w:r>
      <w:r w:rsidR="00B4657A" w:rsidRPr="00D049D7">
        <w:rPr>
          <w:i/>
          <w:color w:val="auto"/>
        </w:rPr>
        <w:t xml:space="preserve"> </w:t>
      </w:r>
    </w:p>
    <w:p w14:paraId="651900BC" w14:textId="77777777" w:rsidR="005A2B18" w:rsidRDefault="005A2B18" w:rsidP="008C5508">
      <w:pPr>
        <w:pStyle w:val="NoSpacing"/>
        <w:rPr>
          <w:i/>
          <w:color w:val="auto"/>
        </w:rPr>
      </w:pPr>
    </w:p>
    <w:p w14:paraId="651900BD" w14:textId="77777777" w:rsidR="005A2B18" w:rsidRPr="00D049D7" w:rsidRDefault="005A2B18" w:rsidP="008C5508">
      <w:pPr>
        <w:pStyle w:val="NoSpacing"/>
        <w:rPr>
          <w:i/>
          <w:color w:val="auto"/>
        </w:rPr>
      </w:pPr>
    </w:p>
    <w:p w14:paraId="651900BE" w14:textId="77777777" w:rsidR="005A7199" w:rsidRPr="005A7199" w:rsidRDefault="00B4657A" w:rsidP="005A2B18">
      <w:pPr>
        <w:pStyle w:val="Heading2"/>
      </w:pPr>
      <w:bookmarkStart w:id="18" w:name="_Toc516767140"/>
      <w:r w:rsidRPr="005A7199">
        <w:t>Whi</w:t>
      </w:r>
      <w:r w:rsidR="00996689">
        <w:t xml:space="preserve">te Space on Surgery and </w:t>
      </w:r>
      <w:r w:rsidR="001A4A2F" w:rsidRPr="005A7199">
        <w:t>OB</w:t>
      </w:r>
      <w:r w:rsidR="00996689">
        <w:t>/GYN</w:t>
      </w:r>
      <w:r w:rsidR="001A4A2F" w:rsidRPr="005A7199">
        <w:t xml:space="preserve"> Operative</w:t>
      </w:r>
      <w:r w:rsidRPr="005A7199">
        <w:t xml:space="preserve"> Days</w:t>
      </w:r>
      <w:bookmarkEnd w:id="18"/>
    </w:p>
    <w:p w14:paraId="651900BF" w14:textId="77777777" w:rsidR="00AF6117" w:rsidRPr="005A7199" w:rsidRDefault="00B4657A" w:rsidP="005A2B18">
      <w:r w:rsidRPr="005A7199">
        <w:t xml:space="preserve">There is a half day of white space </w:t>
      </w:r>
      <w:r w:rsidR="00256532" w:rsidRPr="005A7199">
        <w:t>built into the schedule following</w:t>
      </w:r>
      <w:r w:rsidR="001A4A2F" w:rsidRPr="005A7199">
        <w:t xml:space="preserve"> OR days for Surgery and OBGYN.</w:t>
      </w:r>
      <w:r w:rsidR="00C54EA4" w:rsidRPr="005A7199">
        <w:t xml:space="preserve"> </w:t>
      </w:r>
      <w:r w:rsidR="001A4A2F" w:rsidRPr="005A7199">
        <w:t>This is to allow flexibility for students to complete all operative cases scheduled that day.</w:t>
      </w:r>
      <w:r w:rsidR="00C54EA4" w:rsidRPr="005A7199">
        <w:t xml:space="preserve"> </w:t>
      </w:r>
      <w:r w:rsidR="001A4A2F" w:rsidRPr="005A7199">
        <w:t>If the operative cases</w:t>
      </w:r>
      <w:r w:rsidR="00227922" w:rsidRPr="005A7199">
        <w:t xml:space="preserve"> </w:t>
      </w:r>
      <w:r w:rsidR="00256532" w:rsidRPr="005A7199">
        <w:t>encompass the entire white space afternoon</w:t>
      </w:r>
      <w:r w:rsidR="001A4A2F" w:rsidRPr="005A7199">
        <w:t>, it should be documented as such.</w:t>
      </w:r>
      <w:r w:rsidR="00C54EA4" w:rsidRPr="005A7199">
        <w:t xml:space="preserve"> </w:t>
      </w:r>
      <w:r w:rsidR="001A4A2F" w:rsidRPr="005A7199">
        <w:t>If cases are completed prior to the end of the day, the student should engage in another activity to fill the remainder of the four</w:t>
      </w:r>
      <w:r w:rsidR="002F6495" w:rsidRPr="005A7199">
        <w:t>-</w:t>
      </w:r>
      <w:r w:rsidR="001A4A2F" w:rsidRPr="005A7199">
        <w:t>hour white space block for that day.</w:t>
      </w:r>
      <w:r w:rsidR="00C54EA4" w:rsidRPr="005A7199">
        <w:t xml:space="preserve"> </w:t>
      </w:r>
    </w:p>
    <w:p w14:paraId="651900C0" w14:textId="77777777" w:rsidR="00AA0CA6" w:rsidRPr="00046D61" w:rsidRDefault="00256532" w:rsidP="00571C57">
      <w:pPr>
        <w:pStyle w:val="Heading2"/>
      </w:pPr>
      <w:bookmarkStart w:id="19" w:name="_Toc516767141"/>
      <w:r w:rsidRPr="00046D61">
        <w:t>LIC Bootcamp</w:t>
      </w:r>
      <w:bookmarkEnd w:id="19"/>
    </w:p>
    <w:p w14:paraId="651900C1" w14:textId="77777777" w:rsidR="009D2706" w:rsidRPr="009D2706" w:rsidRDefault="00256532" w:rsidP="008C5508">
      <w:pPr>
        <w:pStyle w:val="NoSpacing"/>
        <w:rPr>
          <w:u w:val="single"/>
        </w:rPr>
      </w:pPr>
      <w:r>
        <w:t xml:space="preserve">LIC students will attend orientation at the Tallahassee Regional Campus during </w:t>
      </w:r>
      <w:r w:rsidR="00AB0D0D">
        <w:t>the</w:t>
      </w:r>
      <w:r>
        <w:t xml:space="preserve"> desi</w:t>
      </w:r>
      <w:r w:rsidR="005D0998">
        <w:t>gnated orientation week.</w:t>
      </w:r>
      <w:r w:rsidR="00C54EA4">
        <w:t xml:space="preserve"> </w:t>
      </w:r>
      <w:r w:rsidR="005D0998">
        <w:t>On</w:t>
      </w:r>
      <w:r>
        <w:t xml:space="preserve"> Monday </w:t>
      </w:r>
      <w:r w:rsidR="002E39B0">
        <w:t>June 18,</w:t>
      </w:r>
      <w:r w:rsidR="002D62C9">
        <w:t xml:space="preserve"> </w:t>
      </w:r>
      <w:r w:rsidR="002E39B0">
        <w:t>2018,</w:t>
      </w:r>
      <w:r w:rsidR="005D0998">
        <w:t xml:space="preserve"> students</w:t>
      </w:r>
      <w:r>
        <w:t xml:space="preserve"> will meet </w:t>
      </w:r>
      <w:r w:rsidR="005D0998">
        <w:t xml:space="preserve">Dr. Speights </w:t>
      </w:r>
      <w:r>
        <w:t xml:space="preserve">for </w:t>
      </w:r>
      <w:r w:rsidR="001D5D6E">
        <w:t xml:space="preserve">the </w:t>
      </w:r>
      <w:r>
        <w:t xml:space="preserve">LIC </w:t>
      </w:r>
      <w:r w:rsidR="001D5D6E">
        <w:t>B</w:t>
      </w:r>
      <w:r>
        <w:t xml:space="preserve">ootcamp at </w:t>
      </w:r>
      <w:r>
        <w:lastRenderedPageBreak/>
        <w:t>Jackson Hospital.</w:t>
      </w:r>
      <w:r w:rsidR="00C54EA4">
        <w:t xml:space="preserve"> </w:t>
      </w:r>
      <w:r w:rsidR="001D5D6E">
        <w:t>This b</w:t>
      </w:r>
      <w:r>
        <w:t>ootcamp is an intensive orientation to the hospital and the LIC curriculum.</w:t>
      </w:r>
      <w:r w:rsidR="00C54EA4">
        <w:t xml:space="preserve"> </w:t>
      </w:r>
      <w:r>
        <w:t>During the week, stude</w:t>
      </w:r>
      <w:r w:rsidR="0071662D">
        <w:t>nts will practice taking histories</w:t>
      </w:r>
      <w:r>
        <w:t xml:space="preserve"> and perf</w:t>
      </w:r>
      <w:r w:rsidR="00172517">
        <w:t xml:space="preserve">orming physical examinations on </w:t>
      </w:r>
      <w:r w:rsidRPr="00BB3123">
        <w:t>hospital</w:t>
      </w:r>
      <w:r w:rsidR="00172517" w:rsidRPr="00BB3123">
        <w:t>ized</w:t>
      </w:r>
      <w:r w:rsidRPr="00BB3123">
        <w:t xml:space="preserve"> patients</w:t>
      </w:r>
      <w:r>
        <w:t xml:space="preserve"> under the supervision of </w:t>
      </w:r>
      <w:r w:rsidR="0071662D">
        <w:t xml:space="preserve">Clerkship </w:t>
      </w:r>
      <w:r>
        <w:t>Faculty.</w:t>
      </w:r>
      <w:r w:rsidR="00C54EA4">
        <w:t xml:space="preserve"> </w:t>
      </w:r>
    </w:p>
    <w:p w14:paraId="651900C2" w14:textId="77777777" w:rsidR="009032C3" w:rsidRPr="009D2706" w:rsidRDefault="00AB0D0D" w:rsidP="008C5508">
      <w:pPr>
        <w:pStyle w:val="NoSpacing"/>
        <w:rPr>
          <w:u w:val="single"/>
        </w:rPr>
      </w:pPr>
      <w:r>
        <w:t>Each morning there will be a “morning report”, during which the s</w:t>
      </w:r>
      <w:r w:rsidR="00256532">
        <w:t>tudents will</w:t>
      </w:r>
      <w:r>
        <w:t xml:space="preserve"> give presentations, and practice</w:t>
      </w:r>
      <w:r w:rsidR="00256532">
        <w:t xml:space="preserve"> assessment and plan skills</w:t>
      </w:r>
      <w:r>
        <w:t>.</w:t>
      </w:r>
      <w:r w:rsidR="00C54EA4">
        <w:t xml:space="preserve"> </w:t>
      </w:r>
      <w:r>
        <w:t xml:space="preserve">Skills labs </w:t>
      </w:r>
      <w:r w:rsidRPr="009D2706">
        <w:t xml:space="preserve">including - </w:t>
      </w:r>
      <w:r w:rsidR="002F6495" w:rsidRPr="009D2706">
        <w:t>Foley</w:t>
      </w:r>
      <w:r w:rsidRPr="009D2706">
        <w:t xml:space="preserve"> catheter placement, IV starts, suturing/knot tying, prescription writing, EMR documentation, sterile technique and basic fetal monitoring will also be covered.</w:t>
      </w:r>
      <w:r w:rsidR="00C54EA4">
        <w:t xml:space="preserve"> </w:t>
      </w:r>
      <w:r w:rsidRPr="009D2706">
        <w:t xml:space="preserve">The goal of </w:t>
      </w:r>
      <w:r w:rsidR="001D5D6E">
        <w:t>the LIC B</w:t>
      </w:r>
      <w:r w:rsidRPr="009D2706">
        <w:t xml:space="preserve">ootcamp, is to give each student the basic skills they need to navigate the LIC curriculum. </w:t>
      </w:r>
    </w:p>
    <w:p w14:paraId="651900C3" w14:textId="77777777" w:rsidR="00046D61" w:rsidRPr="0099683F" w:rsidRDefault="009032C3" w:rsidP="0099683F">
      <w:pPr>
        <w:pStyle w:val="Heading2"/>
      </w:pPr>
      <w:bookmarkStart w:id="20" w:name="_Toc516767142"/>
      <w:r w:rsidRPr="0099683F">
        <w:t>Flex</w:t>
      </w:r>
      <w:r w:rsidR="0099683F">
        <w:t>t</w:t>
      </w:r>
      <w:r w:rsidRPr="0099683F">
        <w:t>ime Electives</w:t>
      </w:r>
      <w:bookmarkEnd w:id="20"/>
    </w:p>
    <w:p w14:paraId="651900C4" w14:textId="77777777" w:rsidR="00435544" w:rsidRPr="00046D61" w:rsidRDefault="00257366" w:rsidP="00F60925">
      <w:r w:rsidRPr="00046D61">
        <w:t>Due to</w:t>
      </w:r>
      <w:r w:rsidR="009032C3" w:rsidRPr="00046D61">
        <w:t xml:space="preserve"> </w:t>
      </w:r>
      <w:r w:rsidR="002F6495" w:rsidRPr="00046D61">
        <w:t>the layout</w:t>
      </w:r>
      <w:r w:rsidR="009032C3" w:rsidRPr="00046D61">
        <w:t xml:space="preserve"> of the LIC,</w:t>
      </w:r>
      <w:r w:rsidR="009F0258">
        <w:t xml:space="preserve"> flextime</w:t>
      </w:r>
      <w:r w:rsidR="009032C3" w:rsidRPr="00046D61">
        <w:t xml:space="preserve"> </w:t>
      </w:r>
      <w:r w:rsidR="001D5D6E">
        <w:t>w</w:t>
      </w:r>
      <w:r w:rsidRPr="00046D61">
        <w:t>ill be offered as two blocks.</w:t>
      </w:r>
      <w:r w:rsidR="00C54EA4" w:rsidRPr="00046D61">
        <w:t xml:space="preserve"> </w:t>
      </w:r>
      <w:r w:rsidRPr="00046D61">
        <w:t>The first</w:t>
      </w:r>
      <w:r w:rsidR="009032C3" w:rsidRPr="00046D61">
        <w:t xml:space="preserve"> will run from </w:t>
      </w:r>
      <w:r w:rsidR="00720A78" w:rsidRPr="00046D61">
        <w:t>October 22 – November 16, 2018</w:t>
      </w:r>
      <w:r w:rsidRPr="00046D61">
        <w:t>.</w:t>
      </w:r>
      <w:r w:rsidR="00C54EA4" w:rsidRPr="00046D61">
        <w:t xml:space="preserve"> </w:t>
      </w:r>
      <w:r w:rsidRPr="00046D61">
        <w:t xml:space="preserve">The second block will run from </w:t>
      </w:r>
      <w:r w:rsidR="00720A78" w:rsidRPr="00046D61">
        <w:t>April 15 – May 10, 2019</w:t>
      </w:r>
      <w:r w:rsidRPr="00046D61">
        <w:t>.</w:t>
      </w:r>
      <w:r w:rsidR="00C54EA4" w:rsidRPr="00046D61">
        <w:t xml:space="preserve"> </w:t>
      </w:r>
      <w:r w:rsidRPr="00046D61">
        <w:t>Along with any</w:t>
      </w:r>
      <w:r w:rsidR="009032C3" w:rsidRPr="00046D61">
        <w:t xml:space="preserve"> clerkship specific prerequisites in</w:t>
      </w:r>
      <w:r w:rsidR="00BB3123">
        <w:t xml:space="preserve"> place for electives, all </w:t>
      </w:r>
      <w:r w:rsidR="009032C3" w:rsidRPr="00046D61">
        <w:t>LIC specific requirement</w:t>
      </w:r>
      <w:r w:rsidR="00172517" w:rsidRPr="00046D61">
        <w:t>s</w:t>
      </w:r>
      <w:r w:rsidR="00BB3123">
        <w:t xml:space="preserve"> that must be completed</w:t>
      </w:r>
      <w:r w:rsidR="009032C3" w:rsidRPr="00046D61">
        <w:t xml:space="preserve"> prior to beginning</w:t>
      </w:r>
      <w:r w:rsidR="009F0258">
        <w:t xml:space="preserve"> </w:t>
      </w:r>
      <w:r w:rsidR="00BB3123">
        <w:t xml:space="preserve">of the second </w:t>
      </w:r>
      <w:r w:rsidR="009F0258">
        <w:t>flextime</w:t>
      </w:r>
      <w:r w:rsidR="00D75719">
        <w:t xml:space="preserve"> elective</w:t>
      </w:r>
      <w:r w:rsidR="009032C3" w:rsidRPr="00046D61">
        <w:t>.</w:t>
      </w:r>
      <w:r w:rsidR="00C54EA4" w:rsidRPr="00046D61">
        <w:t xml:space="preserve"> </w:t>
      </w:r>
    </w:p>
    <w:p w14:paraId="651900C5" w14:textId="77777777" w:rsidR="009032C3" w:rsidRPr="00D75719" w:rsidRDefault="009032C3" w:rsidP="005C1FEC">
      <w:pPr>
        <w:pStyle w:val="ListParagraph"/>
        <w:numPr>
          <w:ilvl w:val="0"/>
          <w:numId w:val="17"/>
        </w:numPr>
      </w:pPr>
      <w:r w:rsidRPr="00D75719">
        <w:lastRenderedPageBreak/>
        <w:t xml:space="preserve">All LIC related coursework and </w:t>
      </w:r>
      <w:r w:rsidR="00D75719">
        <w:t>assignments</w:t>
      </w:r>
      <w:r w:rsidR="00BB3123">
        <w:t xml:space="preserve"> c</w:t>
      </w:r>
      <w:r w:rsidR="00F3643C">
        <w:t>ompleted and submitted</w:t>
      </w:r>
    </w:p>
    <w:p w14:paraId="651900C6" w14:textId="77777777" w:rsidR="00BB3123" w:rsidRDefault="009032C3" w:rsidP="005C1FEC">
      <w:pPr>
        <w:pStyle w:val="ListParagraph"/>
        <w:numPr>
          <w:ilvl w:val="0"/>
          <w:numId w:val="17"/>
        </w:numPr>
      </w:pPr>
      <w:r w:rsidRPr="00BB3123">
        <w:t xml:space="preserve">All NBME </w:t>
      </w:r>
      <w:r w:rsidR="00F3643C">
        <w:t xml:space="preserve">Clinical </w:t>
      </w:r>
      <w:r w:rsidRPr="00BB3123">
        <w:t>Subject Examination</w:t>
      </w:r>
      <w:r w:rsidR="00172517" w:rsidRPr="00BB3123">
        <w:t>s</w:t>
      </w:r>
      <w:r w:rsidRPr="00BB3123">
        <w:t xml:space="preserve"> must be completed</w:t>
      </w:r>
    </w:p>
    <w:p w14:paraId="651900C7" w14:textId="77777777" w:rsidR="00BB3123" w:rsidRDefault="00BB3123" w:rsidP="005C1FEC">
      <w:pPr>
        <w:pStyle w:val="ListParagraph"/>
        <w:numPr>
          <w:ilvl w:val="0"/>
          <w:numId w:val="17"/>
        </w:numPr>
      </w:pPr>
      <w:r>
        <w:t>All course/faculty</w:t>
      </w:r>
      <w:r w:rsidR="00F3643C">
        <w:t xml:space="preserve"> evaluations must be submitted</w:t>
      </w:r>
    </w:p>
    <w:p w14:paraId="651900C8" w14:textId="77777777" w:rsidR="00BB3123" w:rsidRDefault="00BB3123" w:rsidP="005C1FEC">
      <w:pPr>
        <w:pStyle w:val="ListParagraph"/>
        <w:numPr>
          <w:ilvl w:val="0"/>
          <w:numId w:val="17"/>
        </w:numPr>
      </w:pPr>
      <w:r>
        <w:t>If a student has not passed an NBME clinical subject exam, the time set aside for electives will be used for remediation</w:t>
      </w:r>
    </w:p>
    <w:p w14:paraId="651900C9" w14:textId="77777777" w:rsidR="00F3643C" w:rsidRDefault="00F3643C" w:rsidP="005C1FEC">
      <w:pPr>
        <w:pStyle w:val="ListParagraph"/>
        <w:numPr>
          <w:ilvl w:val="0"/>
          <w:numId w:val="17"/>
        </w:numPr>
      </w:pPr>
      <w:r>
        <w:t>If remediation is required for any reason, including clinical experience and breaches in professionalism, this will be completed it lieu of flextime elective</w:t>
      </w:r>
    </w:p>
    <w:p w14:paraId="651900CA" w14:textId="77777777" w:rsidR="00435544" w:rsidRDefault="00A04BAA" w:rsidP="008C5508">
      <w:pPr>
        <w:pStyle w:val="NoSpacing"/>
      </w:pPr>
      <w:r>
        <w:t>F</w:t>
      </w:r>
      <w:r w:rsidR="009F0258">
        <w:t>lextime</w:t>
      </w:r>
      <w:r w:rsidR="00172517" w:rsidRPr="00046D61">
        <w:t xml:space="preserve"> </w:t>
      </w:r>
      <w:r>
        <w:t>e</w:t>
      </w:r>
      <w:r w:rsidR="00172517" w:rsidRPr="00046D61">
        <w:t>lectives can be taken in Marianna or Tallahassee, based on the interests of the student, and the availability of electives at the regional campus</w:t>
      </w:r>
      <w:r w:rsidR="00172517" w:rsidRPr="00172517">
        <w:t>.</w:t>
      </w:r>
      <w:r w:rsidR="00C54EA4">
        <w:t xml:space="preserve"> </w:t>
      </w:r>
      <w:r w:rsidR="00172517">
        <w:t xml:space="preserve">If the student has chosen a </w:t>
      </w:r>
      <w:r>
        <w:t xml:space="preserve">fourth </w:t>
      </w:r>
      <w:r w:rsidR="00172517">
        <w:t>year campus other than Tallahassee, special consultation with that Regional Campus Dean may allow electives to be taken at that campus.</w:t>
      </w:r>
    </w:p>
    <w:p w14:paraId="651900CB" w14:textId="77777777" w:rsidR="00046D61" w:rsidRPr="00046D61" w:rsidRDefault="00720A78" w:rsidP="00571C57">
      <w:pPr>
        <w:pStyle w:val="Heading2"/>
      </w:pPr>
      <w:bookmarkStart w:id="21" w:name="_Toc516767143"/>
      <w:r w:rsidRPr="00046D61">
        <w:t>Transition to M4 Year Regional Campuses</w:t>
      </w:r>
      <w:bookmarkEnd w:id="21"/>
    </w:p>
    <w:p w14:paraId="651900CC" w14:textId="77777777" w:rsidR="00D75719" w:rsidRDefault="00720A78" w:rsidP="008C5508">
      <w:pPr>
        <w:pStyle w:val="NoSpacing"/>
        <w:rPr>
          <w:color w:val="FF0000"/>
        </w:rPr>
      </w:pPr>
      <w:r>
        <w:t>LIC students will have their choice of M4 year regional campuses</w:t>
      </w:r>
      <w:r w:rsidR="00D75719">
        <w:t>, if space is available</w:t>
      </w:r>
      <w:r>
        <w:t>.</w:t>
      </w:r>
      <w:r w:rsidR="00C54EA4">
        <w:t xml:space="preserve"> </w:t>
      </w:r>
      <w:r>
        <w:t xml:space="preserve">Each student </w:t>
      </w:r>
      <w:r w:rsidR="00D75719">
        <w:t xml:space="preserve">must </w:t>
      </w:r>
      <w:r>
        <w:t xml:space="preserve">communicate their choice of M4 regional campus to the Tallahassee Regional Campus Student </w:t>
      </w:r>
      <w:r>
        <w:lastRenderedPageBreak/>
        <w:t>Support by July 1, 2018 to ensure accommodations can be made for their choice</w:t>
      </w:r>
      <w:r w:rsidRPr="00720A78">
        <w:rPr>
          <w:color w:val="FF0000"/>
        </w:rPr>
        <w:t>.</w:t>
      </w:r>
      <w:r w:rsidR="00C54EA4">
        <w:rPr>
          <w:color w:val="FF0000"/>
        </w:rPr>
        <w:t xml:space="preserve"> </w:t>
      </w:r>
    </w:p>
    <w:p w14:paraId="651900CD" w14:textId="77777777" w:rsidR="00A04BAA" w:rsidRDefault="00720A78" w:rsidP="008C5508">
      <w:pPr>
        <w:pStyle w:val="NoSpacing"/>
        <w:rPr>
          <w:color w:val="000000" w:themeColor="text1"/>
        </w:rPr>
      </w:pPr>
      <w:r w:rsidRPr="00D75719">
        <w:rPr>
          <w:color w:val="auto"/>
        </w:rPr>
        <w:t>Students have the option of making the transition to their M4 regional campus for the second</w:t>
      </w:r>
      <w:r w:rsidR="009F0258" w:rsidRPr="00D75719">
        <w:rPr>
          <w:color w:val="auto"/>
        </w:rPr>
        <w:t xml:space="preserve"> flextime</w:t>
      </w:r>
      <w:r w:rsidRPr="00D75719">
        <w:rPr>
          <w:color w:val="auto"/>
        </w:rPr>
        <w:t xml:space="preserve"> block if they desire</w:t>
      </w:r>
      <w:r w:rsidR="00B54C48" w:rsidRPr="00D75719">
        <w:rPr>
          <w:color w:val="auto"/>
        </w:rPr>
        <w:t>,</w:t>
      </w:r>
      <w:r w:rsidRPr="00D75719">
        <w:rPr>
          <w:color w:val="auto"/>
        </w:rPr>
        <w:t xml:space="preserve"> </w:t>
      </w:r>
      <w:r w:rsidR="00D75719">
        <w:rPr>
          <w:color w:val="auto"/>
        </w:rPr>
        <w:t xml:space="preserve">and </w:t>
      </w:r>
      <w:r w:rsidR="00D75719">
        <w:rPr>
          <w:b/>
          <w:color w:val="auto"/>
        </w:rPr>
        <w:t xml:space="preserve">all M3 and </w:t>
      </w:r>
      <w:r w:rsidR="00D75719" w:rsidRPr="00D75719">
        <w:rPr>
          <w:b/>
          <w:color w:val="auto"/>
        </w:rPr>
        <w:t>LIC requirements</w:t>
      </w:r>
      <w:r w:rsidR="00D75719">
        <w:rPr>
          <w:color w:val="auto"/>
        </w:rPr>
        <w:t xml:space="preserve"> have been met. </w:t>
      </w:r>
      <w:r w:rsidRPr="00B54C48">
        <w:rPr>
          <w:color w:val="000000" w:themeColor="text1"/>
        </w:rPr>
        <w:t>Prior to making</w:t>
      </w:r>
      <w:r w:rsidR="00B54C48">
        <w:rPr>
          <w:color w:val="000000" w:themeColor="text1"/>
        </w:rPr>
        <w:t xml:space="preserve"> an early transition to a regional campus, the student must contact the Regional Campus </w:t>
      </w:r>
      <w:r w:rsidR="00D75719">
        <w:rPr>
          <w:color w:val="000000" w:themeColor="text1"/>
        </w:rPr>
        <w:t>Dean and Student Support Coordinator 8-10 weeks prior to anticipated move to ensure the campus can accommodate their arrival, and that the flextime elective is available</w:t>
      </w:r>
      <w:r w:rsidR="00B54C48">
        <w:rPr>
          <w:color w:val="000000" w:themeColor="text1"/>
        </w:rPr>
        <w:t>.</w:t>
      </w:r>
      <w:r w:rsidR="00C54EA4">
        <w:rPr>
          <w:color w:val="000000" w:themeColor="text1"/>
        </w:rPr>
        <w:t xml:space="preserve"> </w:t>
      </w:r>
      <w:r w:rsidR="00B8585C" w:rsidRPr="00D75719">
        <w:rPr>
          <w:i/>
          <w:color w:val="000000" w:themeColor="text1"/>
          <w:u w:val="single"/>
        </w:rPr>
        <w:t>Please note</w:t>
      </w:r>
      <w:r w:rsidR="00B8585C">
        <w:rPr>
          <w:color w:val="000000" w:themeColor="text1"/>
        </w:rPr>
        <w:t xml:space="preserve"> t</w:t>
      </w:r>
      <w:r w:rsidR="00D75719">
        <w:rPr>
          <w:color w:val="000000" w:themeColor="text1"/>
        </w:rPr>
        <w:t>hat an early transition can</w:t>
      </w:r>
      <w:r w:rsidR="00B8585C">
        <w:rPr>
          <w:color w:val="000000" w:themeColor="text1"/>
        </w:rPr>
        <w:t xml:space="preserve"> lead to </w:t>
      </w:r>
      <w:r w:rsidR="00D75719">
        <w:rPr>
          <w:color w:val="000000" w:themeColor="text1"/>
        </w:rPr>
        <w:t xml:space="preserve">additional </w:t>
      </w:r>
      <w:r w:rsidR="00B8585C">
        <w:rPr>
          <w:color w:val="000000" w:themeColor="text1"/>
        </w:rPr>
        <w:t>expenses related to broken</w:t>
      </w:r>
      <w:r w:rsidR="00D75719">
        <w:rPr>
          <w:color w:val="000000" w:themeColor="text1"/>
        </w:rPr>
        <w:t xml:space="preserve"> or extended</w:t>
      </w:r>
      <w:r w:rsidR="00B8585C">
        <w:rPr>
          <w:color w:val="000000" w:themeColor="text1"/>
        </w:rPr>
        <w:t xml:space="preserve"> leases.</w:t>
      </w:r>
      <w:r w:rsidR="00C54EA4">
        <w:rPr>
          <w:color w:val="000000" w:themeColor="text1"/>
        </w:rPr>
        <w:t xml:space="preserve"> </w:t>
      </w:r>
    </w:p>
    <w:p w14:paraId="651900CE" w14:textId="77777777" w:rsidR="00A04BAA" w:rsidRDefault="00A04BAA">
      <w:pPr>
        <w:spacing w:after="160" w:line="259" w:lineRule="auto"/>
        <w:rPr>
          <w:rFonts w:cs="Calibri"/>
          <w:color w:val="000000" w:themeColor="text1"/>
          <w:szCs w:val="23"/>
        </w:rPr>
      </w:pPr>
      <w:r>
        <w:rPr>
          <w:color w:val="000000" w:themeColor="text1"/>
        </w:rPr>
        <w:br w:type="page"/>
      </w:r>
    </w:p>
    <w:p w14:paraId="651900CF" w14:textId="77777777" w:rsidR="00046D61" w:rsidRPr="00F60925" w:rsidRDefault="00966541" w:rsidP="00571C57">
      <w:pPr>
        <w:pStyle w:val="Heading2"/>
      </w:pPr>
      <w:bookmarkStart w:id="22" w:name="_Toc516767144"/>
      <w:r w:rsidRPr="00F60925">
        <w:lastRenderedPageBreak/>
        <w:t>Family Medicine Aquifer Exam</w:t>
      </w:r>
      <w:bookmarkEnd w:id="22"/>
    </w:p>
    <w:p w14:paraId="651900D0" w14:textId="77777777" w:rsidR="00966541" w:rsidRPr="00046D61" w:rsidRDefault="00966541" w:rsidP="008C5508">
      <w:pPr>
        <w:pStyle w:val="NoSpacing"/>
        <w:rPr>
          <w:u w:val="single"/>
        </w:rPr>
      </w:pPr>
      <w:r w:rsidRPr="00046D61">
        <w:t xml:space="preserve">The Family Medicine </w:t>
      </w:r>
      <w:r w:rsidR="00635EEC">
        <w:t xml:space="preserve">clerkship has a required mid-rotation </w:t>
      </w:r>
      <w:r w:rsidR="00722C3A">
        <w:t xml:space="preserve">Aquifer Exam. </w:t>
      </w:r>
      <w:r w:rsidRPr="00046D61">
        <w:t xml:space="preserve">The </w:t>
      </w:r>
      <w:r w:rsidR="00722C3A">
        <w:t xml:space="preserve">Aquifer Exam </w:t>
      </w:r>
      <w:r w:rsidRPr="00046D61">
        <w:t xml:space="preserve">is </w:t>
      </w:r>
      <w:r w:rsidR="00E40E35" w:rsidRPr="00046D61">
        <w:t>taken just before the end of each rotation to gauge the student’s readiness for the</w:t>
      </w:r>
      <w:r w:rsidR="002D62C9" w:rsidRPr="00046D61">
        <w:t xml:space="preserve"> Family Medicine NBME</w:t>
      </w:r>
      <w:r w:rsidR="00A04BAA">
        <w:t xml:space="preserve"> Subject Examination</w:t>
      </w:r>
      <w:r w:rsidR="00E40E35" w:rsidRPr="00046D61">
        <w:t>.</w:t>
      </w:r>
      <w:r w:rsidR="00C54EA4" w:rsidRPr="00046D61">
        <w:t xml:space="preserve"> </w:t>
      </w:r>
      <w:r w:rsidR="00E40E35" w:rsidRPr="00046D61">
        <w:t xml:space="preserve">The </w:t>
      </w:r>
      <w:r w:rsidR="00A04BAA">
        <w:t xml:space="preserve">Aquifer </w:t>
      </w:r>
      <w:r w:rsidR="00635EEC">
        <w:t>E</w:t>
      </w:r>
      <w:r w:rsidR="00E40E35" w:rsidRPr="00046D61">
        <w:t>xam will be administered at the regional campus and will be pr</w:t>
      </w:r>
      <w:r w:rsidR="00812B75" w:rsidRPr="00046D61">
        <w:t xml:space="preserve">octored </w:t>
      </w:r>
      <w:r w:rsidR="00722C3A">
        <w:t xml:space="preserve">in the same manner as an </w:t>
      </w:r>
      <w:r w:rsidR="00812B75" w:rsidRPr="00046D61">
        <w:t>NBME</w:t>
      </w:r>
      <w:r w:rsidR="00722C3A">
        <w:t xml:space="preserve"> Subject Exam</w:t>
      </w:r>
      <w:r w:rsidR="00635EEC">
        <w:t>ination</w:t>
      </w:r>
      <w:r w:rsidR="00E40E35" w:rsidRPr="00046D61">
        <w:t>.</w:t>
      </w:r>
      <w:r w:rsidR="00C54EA4" w:rsidRPr="00046D61">
        <w:t xml:space="preserve"> </w:t>
      </w:r>
      <w:r w:rsidR="00E40E35" w:rsidRPr="00046D61">
        <w:t xml:space="preserve">The </w:t>
      </w:r>
      <w:r w:rsidR="00722C3A">
        <w:t xml:space="preserve">Aquifer </w:t>
      </w:r>
      <w:r w:rsidR="00635EEC">
        <w:t>Exam f</w:t>
      </w:r>
      <w:r w:rsidRPr="00046D61">
        <w:t>or the LIC</w:t>
      </w:r>
      <w:r w:rsidR="00E40E35" w:rsidRPr="00046D61">
        <w:t xml:space="preserve"> will be taken along with the regional campus cohort</w:t>
      </w:r>
      <w:r w:rsidR="00E6540B" w:rsidRPr="00046D61">
        <w:t xml:space="preserve"> on February 8, 2019.</w:t>
      </w:r>
      <w:r w:rsidR="00C54EA4" w:rsidRPr="00046D61">
        <w:t xml:space="preserve"> </w:t>
      </w:r>
      <w:r w:rsidR="00812B75" w:rsidRPr="00046D61">
        <w:t>This date is based on the historical perspective that LIC students take the F</w:t>
      </w:r>
      <w:r w:rsidR="00635EEC">
        <w:t xml:space="preserve">amily Medicine </w:t>
      </w:r>
      <w:r w:rsidR="00812B75" w:rsidRPr="00046D61">
        <w:t xml:space="preserve">NBME </w:t>
      </w:r>
      <w:r w:rsidR="00722C3A">
        <w:t xml:space="preserve">Subject Examination </w:t>
      </w:r>
      <w:r w:rsidR="00812B75" w:rsidRPr="00046D61">
        <w:t>last.</w:t>
      </w:r>
      <w:r w:rsidR="00C54EA4" w:rsidRPr="00046D61">
        <w:t xml:space="preserve"> </w:t>
      </w:r>
      <w:r w:rsidR="00812B75" w:rsidRPr="00046D61">
        <w:t>If you plan to take the exam prior to February, we will adjust your Aquifer Exam date accordingly.</w:t>
      </w:r>
      <w:r w:rsidR="00C54EA4" w:rsidRPr="00046D61">
        <w:t xml:space="preserve"> </w:t>
      </w:r>
    </w:p>
    <w:p w14:paraId="651900D1" w14:textId="77777777" w:rsidR="00046D61" w:rsidRPr="00F60925" w:rsidRDefault="00046D61" w:rsidP="00571C57">
      <w:pPr>
        <w:pStyle w:val="Heading2"/>
      </w:pPr>
      <w:bookmarkStart w:id="23" w:name="_Toc516767145"/>
      <w:r w:rsidRPr="00F60925">
        <w:t>G</w:t>
      </w:r>
      <w:r w:rsidR="00B8585C" w:rsidRPr="00F60925">
        <w:t>eriatrics</w:t>
      </w:r>
      <w:bookmarkEnd w:id="23"/>
    </w:p>
    <w:p w14:paraId="651900D2" w14:textId="77777777" w:rsidR="00B8585C" w:rsidRPr="00046D61" w:rsidRDefault="00B8585C" w:rsidP="008C5508">
      <w:pPr>
        <w:pStyle w:val="NoSpacing"/>
        <w:rPr>
          <w:u w:val="single"/>
        </w:rPr>
      </w:pPr>
      <w:r w:rsidRPr="00046D61">
        <w:t>Since the inception of the LIC, Geriatrics has become a popular rotation for students to take in Marianna.</w:t>
      </w:r>
      <w:r w:rsidR="00C54EA4" w:rsidRPr="00046D61">
        <w:t xml:space="preserve"> </w:t>
      </w:r>
      <w:r w:rsidRPr="00046D61">
        <w:t>Dr. Agens will approve Geriatric rotations in Marianna for early in the M4 year.</w:t>
      </w:r>
      <w:r w:rsidR="00C54EA4" w:rsidRPr="00046D61">
        <w:t xml:space="preserve"> </w:t>
      </w:r>
      <w:r w:rsidRPr="00046D61">
        <w:t xml:space="preserve">If you are interested in staying or returning to Marianna for Geriatrics, please inform Dr. Spence and </w:t>
      </w:r>
      <w:r w:rsidR="005C1FEC">
        <w:t xml:space="preserve">Dr. </w:t>
      </w:r>
      <w:r w:rsidRPr="00046D61">
        <w:t>Agens early so that arrangements can be made for your selected month.</w:t>
      </w:r>
      <w:r w:rsidR="00C54EA4" w:rsidRPr="00046D61">
        <w:t xml:space="preserve"> </w:t>
      </w:r>
    </w:p>
    <w:sectPr w:rsidR="00B8585C" w:rsidRPr="00046D61" w:rsidSect="00EF1820">
      <w:pgSz w:w="12240" w:h="15840"/>
      <w:pgMar w:top="1080" w:right="1080" w:bottom="1080" w:left="1080" w:header="108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900D9" w14:textId="77777777" w:rsidR="00377DF7" w:rsidRDefault="00377DF7" w:rsidP="00AB0D0D">
      <w:r>
        <w:separator/>
      </w:r>
    </w:p>
  </w:endnote>
  <w:endnote w:type="continuationSeparator" w:id="0">
    <w:p w14:paraId="651900DA" w14:textId="77777777" w:rsidR="00377DF7" w:rsidRDefault="00377DF7" w:rsidP="00AB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900DB" w14:textId="3FAA9FF1" w:rsidR="00722C3A" w:rsidRPr="00742303" w:rsidRDefault="00722C3A" w:rsidP="00742303">
    <w:pPr>
      <w:rPr>
        <w:sz w:val="24"/>
      </w:rPr>
    </w:pPr>
    <w:r>
      <w:rPr>
        <w:sz w:val="24"/>
      </w:rPr>
      <w:t>AY 2018-2019</w:t>
    </w:r>
    <w:r>
      <w:rPr>
        <w:sz w:val="24"/>
      </w:rPr>
      <w:tab/>
    </w:r>
    <w:r>
      <w:rPr>
        <w:sz w:val="24"/>
      </w:rPr>
      <w:tab/>
    </w:r>
    <w:r>
      <w:rPr>
        <w:sz w:val="24"/>
      </w:rPr>
      <w:tab/>
    </w:r>
    <w:r w:rsidRPr="00742303">
      <w:rPr>
        <w:sz w:val="24"/>
      </w:rPr>
      <w:t>LIC</w:t>
    </w:r>
    <w:r>
      <w:rPr>
        <w:sz w:val="24"/>
      </w:rPr>
      <w:t xml:space="preserve"> </w:t>
    </w:r>
    <w:r w:rsidRPr="00742303">
      <w:rPr>
        <w:sz w:val="24"/>
      </w:rPr>
      <w:t>General Information and Policy Guide</w:t>
    </w:r>
    <w:r w:rsidRPr="00742303">
      <w:rPr>
        <w:sz w:val="24"/>
      </w:rPr>
      <w:tab/>
    </w:r>
    <w:r w:rsidRPr="00742303">
      <w:rPr>
        <w:sz w:val="24"/>
      </w:rPr>
      <w:tab/>
    </w:r>
    <w:r>
      <w:rPr>
        <w:sz w:val="24"/>
      </w:rPr>
      <w:tab/>
    </w:r>
    <w:r w:rsidRPr="00742303">
      <w:rPr>
        <w:sz w:val="24"/>
      </w:rPr>
      <w:t xml:space="preserve">Page </w:t>
    </w:r>
    <w:r w:rsidRPr="00742303">
      <w:rPr>
        <w:b/>
        <w:bCs/>
        <w:sz w:val="24"/>
      </w:rPr>
      <w:fldChar w:fldCharType="begin"/>
    </w:r>
    <w:r w:rsidRPr="00742303">
      <w:rPr>
        <w:b/>
        <w:bCs/>
        <w:sz w:val="24"/>
      </w:rPr>
      <w:instrText xml:space="preserve"> PAGE  \* Arabic  \* MERGEFORMAT </w:instrText>
    </w:r>
    <w:r w:rsidRPr="00742303">
      <w:rPr>
        <w:b/>
        <w:bCs/>
        <w:sz w:val="24"/>
      </w:rPr>
      <w:fldChar w:fldCharType="separate"/>
    </w:r>
    <w:r w:rsidR="00845D5D">
      <w:rPr>
        <w:b/>
        <w:bCs/>
        <w:noProof/>
        <w:sz w:val="24"/>
      </w:rPr>
      <w:t>2</w:t>
    </w:r>
    <w:r w:rsidRPr="00742303">
      <w:rPr>
        <w:b/>
        <w:bCs/>
        <w:sz w:val="24"/>
      </w:rPr>
      <w:fldChar w:fldCharType="end"/>
    </w:r>
    <w:r w:rsidRPr="00742303">
      <w:rPr>
        <w:sz w:val="24"/>
      </w:rPr>
      <w:t xml:space="preserve"> of </w:t>
    </w:r>
    <w:r w:rsidRPr="00742303">
      <w:rPr>
        <w:b/>
        <w:bCs/>
        <w:sz w:val="24"/>
      </w:rPr>
      <w:fldChar w:fldCharType="begin"/>
    </w:r>
    <w:r w:rsidRPr="00742303">
      <w:rPr>
        <w:b/>
        <w:bCs/>
        <w:sz w:val="24"/>
      </w:rPr>
      <w:instrText xml:space="preserve"> NUMPAGES  \* Arabic  \* MERGEFORMAT </w:instrText>
    </w:r>
    <w:r w:rsidRPr="00742303">
      <w:rPr>
        <w:b/>
        <w:bCs/>
        <w:sz w:val="24"/>
      </w:rPr>
      <w:fldChar w:fldCharType="separate"/>
    </w:r>
    <w:r w:rsidR="00845D5D">
      <w:rPr>
        <w:b/>
        <w:bCs/>
        <w:noProof/>
        <w:sz w:val="24"/>
      </w:rPr>
      <w:t>3</w:t>
    </w:r>
    <w:r w:rsidRPr="00742303">
      <w:rPr>
        <w:b/>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900DC" w14:textId="3B3BD34A" w:rsidR="00722C3A" w:rsidRPr="008C5508" w:rsidRDefault="00722C3A" w:rsidP="00950BFB">
    <w:pPr>
      <w:pStyle w:val="Footer"/>
      <w:jc w:val="center"/>
      <w:rPr>
        <w:sz w:val="24"/>
      </w:rPr>
    </w:pPr>
    <w:r w:rsidRPr="008C5508">
      <w:rPr>
        <w:rFonts w:cstheme="minorHAnsi"/>
        <w:noProof/>
        <w:sz w:val="24"/>
      </w:rPr>
      <w:t>Florida State University College of Medicine | Last Updated:</w:t>
    </w:r>
    <w:r w:rsidRPr="008C5508">
      <w:rPr>
        <w:rFonts w:cstheme="minorHAnsi"/>
        <w:b/>
        <w:noProof/>
        <w:sz w:val="24"/>
      </w:rPr>
      <w:t xml:space="preserve"> </w:t>
    </w:r>
    <w:r w:rsidR="00845D5D">
      <w:rPr>
        <w:rFonts w:cstheme="minorHAnsi"/>
        <w:b/>
        <w:noProof/>
        <w:sz w:val="24"/>
      </w:rPr>
      <w:t>7</w:t>
    </w:r>
    <w:r w:rsidR="00F27433">
      <w:rPr>
        <w:rFonts w:cstheme="minorHAnsi"/>
        <w:b/>
        <w:noProof/>
        <w:sz w:val="24"/>
      </w:rPr>
      <w:t>/</w:t>
    </w:r>
    <w:r w:rsidR="00845D5D">
      <w:rPr>
        <w:rFonts w:cstheme="minorHAnsi"/>
        <w:b/>
        <w:noProof/>
        <w:sz w:val="24"/>
      </w:rPr>
      <w:t>2</w:t>
    </w:r>
    <w:r w:rsidRPr="008C5508">
      <w:rPr>
        <w:rFonts w:cstheme="minorHAnsi"/>
        <w:b/>
        <w:noProof/>
        <w:sz w:val="24"/>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900D7" w14:textId="77777777" w:rsidR="00377DF7" w:rsidRDefault="00377DF7" w:rsidP="00AB0D0D">
      <w:r>
        <w:separator/>
      </w:r>
    </w:p>
  </w:footnote>
  <w:footnote w:type="continuationSeparator" w:id="0">
    <w:p w14:paraId="651900D8" w14:textId="77777777" w:rsidR="00377DF7" w:rsidRDefault="00377DF7" w:rsidP="00AB0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2CC"/>
    <w:multiLevelType w:val="hybridMultilevel"/>
    <w:tmpl w:val="90CA2B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E956F16"/>
    <w:multiLevelType w:val="hybridMultilevel"/>
    <w:tmpl w:val="76FE5082"/>
    <w:lvl w:ilvl="0" w:tplc="B686BD6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E59F0"/>
    <w:multiLevelType w:val="hybridMultilevel"/>
    <w:tmpl w:val="43325D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D334AB5"/>
    <w:multiLevelType w:val="hybridMultilevel"/>
    <w:tmpl w:val="73EE0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61DDC"/>
    <w:multiLevelType w:val="hybridMultilevel"/>
    <w:tmpl w:val="5672B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09323B"/>
    <w:multiLevelType w:val="hybridMultilevel"/>
    <w:tmpl w:val="843097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4220BAC"/>
    <w:multiLevelType w:val="hybridMultilevel"/>
    <w:tmpl w:val="06A6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54095"/>
    <w:multiLevelType w:val="hybridMultilevel"/>
    <w:tmpl w:val="A1CED7B2"/>
    <w:lvl w:ilvl="0" w:tplc="B686BD6C">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916B69"/>
    <w:multiLevelType w:val="hybridMultilevel"/>
    <w:tmpl w:val="654472B6"/>
    <w:lvl w:ilvl="0" w:tplc="2668C40E">
      <w:start w:val="1"/>
      <w:numFmt w:val="decimal"/>
      <w:lvlText w:val="%1)"/>
      <w:lvlJc w:val="left"/>
      <w:pPr>
        <w:ind w:left="360" w:hanging="360"/>
      </w:pPr>
      <w:rPr>
        <w:rFonts w:hint="default"/>
        <w:b w:val="0"/>
        <w:color w:val="auto"/>
      </w:rPr>
    </w:lvl>
    <w:lvl w:ilvl="1" w:tplc="2F005FA8">
      <w:start w:val="1"/>
      <w:numFmt w:val="lowerLetter"/>
      <w:lvlText w:val="%2."/>
      <w:lvlJc w:val="left"/>
      <w:pPr>
        <w:ind w:left="1080" w:hanging="360"/>
      </w:pPr>
      <w:rPr>
        <w:color w:val="FF000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5795D68"/>
    <w:multiLevelType w:val="hybridMultilevel"/>
    <w:tmpl w:val="37A2D2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350054"/>
    <w:multiLevelType w:val="hybridMultilevel"/>
    <w:tmpl w:val="7F52DB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391D0A"/>
    <w:multiLevelType w:val="hybridMultilevel"/>
    <w:tmpl w:val="768E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8452A6"/>
    <w:multiLevelType w:val="hybridMultilevel"/>
    <w:tmpl w:val="E2B84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EFC4719"/>
    <w:multiLevelType w:val="hybridMultilevel"/>
    <w:tmpl w:val="BBC89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03438C"/>
    <w:multiLevelType w:val="hybridMultilevel"/>
    <w:tmpl w:val="1FE4C620"/>
    <w:lvl w:ilvl="0" w:tplc="B686BD6C">
      <w:start w:val="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0E3F92"/>
    <w:multiLevelType w:val="hybridMultilevel"/>
    <w:tmpl w:val="05004384"/>
    <w:lvl w:ilvl="0" w:tplc="B686BD6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6E54A3"/>
    <w:multiLevelType w:val="hybridMultilevel"/>
    <w:tmpl w:val="8856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3636DE"/>
    <w:multiLevelType w:val="hybridMultilevel"/>
    <w:tmpl w:val="7B260634"/>
    <w:lvl w:ilvl="0" w:tplc="B686BD6C">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17"/>
  </w:num>
  <w:num w:numId="5">
    <w:abstractNumId w:val="10"/>
  </w:num>
  <w:num w:numId="6">
    <w:abstractNumId w:val="4"/>
  </w:num>
  <w:num w:numId="7">
    <w:abstractNumId w:val="12"/>
  </w:num>
  <w:num w:numId="8">
    <w:abstractNumId w:val="2"/>
  </w:num>
  <w:num w:numId="9">
    <w:abstractNumId w:val="5"/>
  </w:num>
  <w:num w:numId="10">
    <w:abstractNumId w:val="0"/>
  </w:num>
  <w:num w:numId="11">
    <w:abstractNumId w:val="6"/>
  </w:num>
  <w:num w:numId="12">
    <w:abstractNumId w:val="13"/>
  </w:num>
  <w:num w:numId="13">
    <w:abstractNumId w:val="14"/>
  </w:num>
  <w:num w:numId="14">
    <w:abstractNumId w:val="9"/>
  </w:num>
  <w:num w:numId="15">
    <w:abstractNumId w:val="15"/>
  </w:num>
  <w:num w:numId="16">
    <w:abstractNumId w:val="7"/>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544"/>
    <w:rsid w:val="00025224"/>
    <w:rsid w:val="00037C34"/>
    <w:rsid w:val="00046D61"/>
    <w:rsid w:val="0005319D"/>
    <w:rsid w:val="000554E8"/>
    <w:rsid w:val="00070854"/>
    <w:rsid w:val="000862F2"/>
    <w:rsid w:val="000C0B9A"/>
    <w:rsid w:val="001210CD"/>
    <w:rsid w:val="001654CC"/>
    <w:rsid w:val="00167F50"/>
    <w:rsid w:val="00172517"/>
    <w:rsid w:val="0018160F"/>
    <w:rsid w:val="00193F0E"/>
    <w:rsid w:val="00194C85"/>
    <w:rsid w:val="001A4A2F"/>
    <w:rsid w:val="001A7EDD"/>
    <w:rsid w:val="001B3E58"/>
    <w:rsid w:val="001C2326"/>
    <w:rsid w:val="001D5D6E"/>
    <w:rsid w:val="001F463D"/>
    <w:rsid w:val="00202D89"/>
    <w:rsid w:val="00227922"/>
    <w:rsid w:val="002433DC"/>
    <w:rsid w:val="002455DE"/>
    <w:rsid w:val="00255D60"/>
    <w:rsid w:val="00256532"/>
    <w:rsid w:val="00257366"/>
    <w:rsid w:val="00263B88"/>
    <w:rsid w:val="00290103"/>
    <w:rsid w:val="002C25D9"/>
    <w:rsid w:val="002D2590"/>
    <w:rsid w:val="002D4A29"/>
    <w:rsid w:val="002D62C9"/>
    <w:rsid w:val="002E39B0"/>
    <w:rsid w:val="002F3D98"/>
    <w:rsid w:val="002F6495"/>
    <w:rsid w:val="003366B4"/>
    <w:rsid w:val="00336854"/>
    <w:rsid w:val="003379CD"/>
    <w:rsid w:val="0034425F"/>
    <w:rsid w:val="00363980"/>
    <w:rsid w:val="00375996"/>
    <w:rsid w:val="00377DF7"/>
    <w:rsid w:val="0039202A"/>
    <w:rsid w:val="0039606C"/>
    <w:rsid w:val="003A4582"/>
    <w:rsid w:val="003A531B"/>
    <w:rsid w:val="003B0D72"/>
    <w:rsid w:val="003B4844"/>
    <w:rsid w:val="003E3F4D"/>
    <w:rsid w:val="003F6164"/>
    <w:rsid w:val="0040673B"/>
    <w:rsid w:val="00415928"/>
    <w:rsid w:val="00420764"/>
    <w:rsid w:val="00435544"/>
    <w:rsid w:val="00435FA1"/>
    <w:rsid w:val="00443D07"/>
    <w:rsid w:val="00443E0C"/>
    <w:rsid w:val="004541B2"/>
    <w:rsid w:val="004B2D76"/>
    <w:rsid w:val="00506BAD"/>
    <w:rsid w:val="00507463"/>
    <w:rsid w:val="00533226"/>
    <w:rsid w:val="00571C57"/>
    <w:rsid w:val="005A2B18"/>
    <w:rsid w:val="005A7199"/>
    <w:rsid w:val="005B338A"/>
    <w:rsid w:val="005B3F31"/>
    <w:rsid w:val="005B526C"/>
    <w:rsid w:val="005C1FEC"/>
    <w:rsid w:val="005D0998"/>
    <w:rsid w:val="005E0289"/>
    <w:rsid w:val="005E558A"/>
    <w:rsid w:val="005F11DA"/>
    <w:rsid w:val="00633482"/>
    <w:rsid w:val="00635402"/>
    <w:rsid w:val="00635EEC"/>
    <w:rsid w:val="00642477"/>
    <w:rsid w:val="00645FE2"/>
    <w:rsid w:val="00667772"/>
    <w:rsid w:val="00685B95"/>
    <w:rsid w:val="006F3DD2"/>
    <w:rsid w:val="006F692E"/>
    <w:rsid w:val="00710A6F"/>
    <w:rsid w:val="0071662D"/>
    <w:rsid w:val="00720A78"/>
    <w:rsid w:val="00722C3A"/>
    <w:rsid w:val="0072614A"/>
    <w:rsid w:val="00731155"/>
    <w:rsid w:val="007321A6"/>
    <w:rsid w:val="00742303"/>
    <w:rsid w:val="007547BA"/>
    <w:rsid w:val="00763121"/>
    <w:rsid w:val="00792112"/>
    <w:rsid w:val="007A2F0A"/>
    <w:rsid w:val="007A5B15"/>
    <w:rsid w:val="007F1B0D"/>
    <w:rsid w:val="007F2E8C"/>
    <w:rsid w:val="008011E7"/>
    <w:rsid w:val="00812B75"/>
    <w:rsid w:val="00845535"/>
    <w:rsid w:val="00845D5D"/>
    <w:rsid w:val="00864155"/>
    <w:rsid w:val="00870842"/>
    <w:rsid w:val="008721E5"/>
    <w:rsid w:val="008C5508"/>
    <w:rsid w:val="008D766F"/>
    <w:rsid w:val="008E30D3"/>
    <w:rsid w:val="008F5348"/>
    <w:rsid w:val="009032C3"/>
    <w:rsid w:val="009101A6"/>
    <w:rsid w:val="00943FAB"/>
    <w:rsid w:val="00950BFB"/>
    <w:rsid w:val="00966541"/>
    <w:rsid w:val="00996689"/>
    <w:rsid w:val="0099683F"/>
    <w:rsid w:val="009A3EDF"/>
    <w:rsid w:val="009B753E"/>
    <w:rsid w:val="009C677D"/>
    <w:rsid w:val="009D2706"/>
    <w:rsid w:val="009F0258"/>
    <w:rsid w:val="00A04BAA"/>
    <w:rsid w:val="00A265EA"/>
    <w:rsid w:val="00A77D82"/>
    <w:rsid w:val="00A962B2"/>
    <w:rsid w:val="00AA0CA6"/>
    <w:rsid w:val="00AB0D0D"/>
    <w:rsid w:val="00AC3E9D"/>
    <w:rsid w:val="00AD0322"/>
    <w:rsid w:val="00AD6205"/>
    <w:rsid w:val="00AE1C04"/>
    <w:rsid w:val="00AF4E3A"/>
    <w:rsid w:val="00AF6117"/>
    <w:rsid w:val="00B000EF"/>
    <w:rsid w:val="00B00C1A"/>
    <w:rsid w:val="00B3649A"/>
    <w:rsid w:val="00B41D4D"/>
    <w:rsid w:val="00B4657A"/>
    <w:rsid w:val="00B54C48"/>
    <w:rsid w:val="00B8585C"/>
    <w:rsid w:val="00BA7EE1"/>
    <w:rsid w:val="00BB3123"/>
    <w:rsid w:val="00BD75C8"/>
    <w:rsid w:val="00BE1218"/>
    <w:rsid w:val="00BF329F"/>
    <w:rsid w:val="00C10C0D"/>
    <w:rsid w:val="00C12130"/>
    <w:rsid w:val="00C27325"/>
    <w:rsid w:val="00C27B40"/>
    <w:rsid w:val="00C43C7A"/>
    <w:rsid w:val="00C54EA4"/>
    <w:rsid w:val="00C55DF8"/>
    <w:rsid w:val="00C616A5"/>
    <w:rsid w:val="00C7479A"/>
    <w:rsid w:val="00C92F56"/>
    <w:rsid w:val="00CA3E5C"/>
    <w:rsid w:val="00CC683B"/>
    <w:rsid w:val="00D049D7"/>
    <w:rsid w:val="00D57AE6"/>
    <w:rsid w:val="00D742DA"/>
    <w:rsid w:val="00D75719"/>
    <w:rsid w:val="00DB4101"/>
    <w:rsid w:val="00DB4F57"/>
    <w:rsid w:val="00DD4E23"/>
    <w:rsid w:val="00DD68DA"/>
    <w:rsid w:val="00DE1E22"/>
    <w:rsid w:val="00DF5FA0"/>
    <w:rsid w:val="00E40E35"/>
    <w:rsid w:val="00E47233"/>
    <w:rsid w:val="00E47A9B"/>
    <w:rsid w:val="00E535EA"/>
    <w:rsid w:val="00E6540B"/>
    <w:rsid w:val="00E84A69"/>
    <w:rsid w:val="00E865C6"/>
    <w:rsid w:val="00EB58C6"/>
    <w:rsid w:val="00ED546B"/>
    <w:rsid w:val="00EF1820"/>
    <w:rsid w:val="00F06137"/>
    <w:rsid w:val="00F12A29"/>
    <w:rsid w:val="00F27433"/>
    <w:rsid w:val="00F3643C"/>
    <w:rsid w:val="00F60925"/>
    <w:rsid w:val="00F677EF"/>
    <w:rsid w:val="00F80F09"/>
    <w:rsid w:val="00F95A68"/>
    <w:rsid w:val="00FA1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190051"/>
  <w15:chartTrackingRefBased/>
  <w15:docId w15:val="{BE6A4BE0-7AAF-46D2-BBCF-AD3CE9CE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BAD"/>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F609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Spacing"/>
    <w:next w:val="Normal"/>
    <w:link w:val="Heading2Char"/>
    <w:uiPriority w:val="9"/>
    <w:unhideWhenUsed/>
    <w:qFormat/>
    <w:rsid w:val="00571C57"/>
    <w:pPr>
      <w:spacing w:before="120" w:after="0"/>
      <w:outlineLvl w:val="1"/>
    </w:pPr>
    <w:rPr>
      <w:b/>
      <w:i/>
      <w:sz w:val="24"/>
    </w:rPr>
  </w:style>
  <w:style w:type="paragraph" w:styleId="Heading3">
    <w:name w:val="heading 3"/>
    <w:basedOn w:val="Normal"/>
    <w:next w:val="Normal"/>
    <w:link w:val="Heading3Char"/>
    <w:uiPriority w:val="9"/>
    <w:unhideWhenUsed/>
    <w:qFormat/>
    <w:rsid w:val="008C5508"/>
    <w:pPr>
      <w:keepNext/>
      <w:keepLines/>
      <w:spacing w:before="40"/>
      <w:ind w:left="360"/>
      <w:outlineLvl w:val="2"/>
    </w:pPr>
    <w:rPr>
      <w:rFonts w:asciiTheme="minorHAnsi" w:eastAsiaTheme="majorEastAsia" w:hAnsiTheme="minorHAnsi" w:cstheme="minorHAnsi"/>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554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06137"/>
    <w:pPr>
      <w:spacing w:after="160" w:line="259"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AB0D0D"/>
    <w:pPr>
      <w:tabs>
        <w:tab w:val="center" w:pos="4680"/>
        <w:tab w:val="right" w:pos="9360"/>
      </w:tabs>
    </w:pPr>
  </w:style>
  <w:style w:type="character" w:customStyle="1" w:styleId="HeaderChar">
    <w:name w:val="Header Char"/>
    <w:basedOn w:val="DefaultParagraphFont"/>
    <w:link w:val="Header"/>
    <w:uiPriority w:val="99"/>
    <w:rsid w:val="00AB0D0D"/>
    <w:rPr>
      <w:rFonts w:ascii="Calibri" w:hAnsi="Calibri" w:cs="Times New Roman"/>
    </w:rPr>
  </w:style>
  <w:style w:type="paragraph" w:styleId="Footer">
    <w:name w:val="footer"/>
    <w:basedOn w:val="Normal"/>
    <w:link w:val="FooterChar"/>
    <w:uiPriority w:val="99"/>
    <w:unhideWhenUsed/>
    <w:rsid w:val="00AB0D0D"/>
    <w:pPr>
      <w:tabs>
        <w:tab w:val="center" w:pos="4680"/>
        <w:tab w:val="right" w:pos="9360"/>
      </w:tabs>
    </w:pPr>
  </w:style>
  <w:style w:type="character" w:customStyle="1" w:styleId="FooterChar">
    <w:name w:val="Footer Char"/>
    <w:basedOn w:val="DefaultParagraphFont"/>
    <w:link w:val="Footer"/>
    <w:uiPriority w:val="99"/>
    <w:rsid w:val="00AB0D0D"/>
    <w:rPr>
      <w:rFonts w:ascii="Calibri" w:hAnsi="Calibri" w:cs="Times New Roman"/>
    </w:rPr>
  </w:style>
  <w:style w:type="paragraph" w:styleId="BalloonText">
    <w:name w:val="Balloon Text"/>
    <w:basedOn w:val="Normal"/>
    <w:link w:val="BalloonTextChar"/>
    <w:uiPriority w:val="99"/>
    <w:semiHidden/>
    <w:unhideWhenUsed/>
    <w:rsid w:val="002F649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F649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F6495"/>
    <w:rPr>
      <w:sz w:val="18"/>
      <w:szCs w:val="18"/>
    </w:rPr>
  </w:style>
  <w:style w:type="paragraph" w:styleId="CommentText">
    <w:name w:val="annotation text"/>
    <w:basedOn w:val="Normal"/>
    <w:link w:val="CommentTextChar"/>
    <w:uiPriority w:val="99"/>
    <w:semiHidden/>
    <w:unhideWhenUsed/>
    <w:rsid w:val="002F6495"/>
    <w:rPr>
      <w:sz w:val="24"/>
      <w:szCs w:val="24"/>
    </w:rPr>
  </w:style>
  <w:style w:type="character" w:customStyle="1" w:styleId="CommentTextChar">
    <w:name w:val="Comment Text Char"/>
    <w:basedOn w:val="DefaultParagraphFont"/>
    <w:link w:val="CommentText"/>
    <w:uiPriority w:val="99"/>
    <w:semiHidden/>
    <w:rsid w:val="002F6495"/>
    <w:rPr>
      <w:rFonts w:ascii="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2F6495"/>
    <w:rPr>
      <w:b/>
      <w:bCs/>
      <w:sz w:val="20"/>
      <w:szCs w:val="20"/>
    </w:rPr>
  </w:style>
  <w:style w:type="character" w:customStyle="1" w:styleId="CommentSubjectChar">
    <w:name w:val="Comment Subject Char"/>
    <w:basedOn w:val="CommentTextChar"/>
    <w:link w:val="CommentSubject"/>
    <w:uiPriority w:val="99"/>
    <w:semiHidden/>
    <w:rsid w:val="002F6495"/>
    <w:rPr>
      <w:rFonts w:ascii="Calibri" w:hAnsi="Calibri" w:cs="Times New Roman"/>
      <w:b/>
      <w:bCs/>
      <w:sz w:val="20"/>
      <w:szCs w:val="20"/>
    </w:rPr>
  </w:style>
  <w:style w:type="table" w:styleId="GridTable4">
    <w:name w:val="Grid Table 4"/>
    <w:basedOn w:val="TableNormal"/>
    <w:uiPriority w:val="49"/>
    <w:rsid w:val="00EB58C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basedOn w:val="Default"/>
    <w:uiPriority w:val="1"/>
    <w:qFormat/>
    <w:rsid w:val="00571C57"/>
    <w:pPr>
      <w:spacing w:after="120"/>
    </w:pPr>
    <w:rPr>
      <w:sz w:val="22"/>
      <w:szCs w:val="23"/>
    </w:rPr>
  </w:style>
  <w:style w:type="character" w:customStyle="1" w:styleId="Heading2Char">
    <w:name w:val="Heading 2 Char"/>
    <w:basedOn w:val="DefaultParagraphFont"/>
    <w:link w:val="Heading2"/>
    <w:uiPriority w:val="9"/>
    <w:rsid w:val="00571C57"/>
    <w:rPr>
      <w:rFonts w:ascii="Calibri" w:hAnsi="Calibri" w:cs="Calibri"/>
      <w:b/>
      <w:i/>
      <w:color w:val="000000"/>
      <w:sz w:val="24"/>
      <w:szCs w:val="23"/>
    </w:rPr>
  </w:style>
  <w:style w:type="character" w:customStyle="1" w:styleId="Heading3Char">
    <w:name w:val="Heading 3 Char"/>
    <w:basedOn w:val="DefaultParagraphFont"/>
    <w:link w:val="Heading3"/>
    <w:uiPriority w:val="9"/>
    <w:rsid w:val="008C5508"/>
    <w:rPr>
      <w:rFonts w:eastAsiaTheme="majorEastAsia" w:cstheme="minorHAnsi"/>
      <w:b/>
      <w:i/>
      <w:sz w:val="24"/>
      <w:szCs w:val="24"/>
    </w:rPr>
  </w:style>
  <w:style w:type="character" w:customStyle="1" w:styleId="Heading1Char">
    <w:name w:val="Heading 1 Char"/>
    <w:basedOn w:val="DefaultParagraphFont"/>
    <w:link w:val="Heading1"/>
    <w:uiPriority w:val="9"/>
    <w:rsid w:val="00F6092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60925"/>
    <w:pPr>
      <w:spacing w:line="259" w:lineRule="auto"/>
      <w:outlineLvl w:val="9"/>
    </w:pPr>
  </w:style>
  <w:style w:type="paragraph" w:styleId="TOC2">
    <w:name w:val="toc 2"/>
    <w:basedOn w:val="Normal"/>
    <w:next w:val="Normal"/>
    <w:autoRedefine/>
    <w:uiPriority w:val="39"/>
    <w:unhideWhenUsed/>
    <w:rsid w:val="00F60925"/>
    <w:pPr>
      <w:spacing w:after="100"/>
      <w:ind w:left="220"/>
    </w:pPr>
  </w:style>
  <w:style w:type="character" w:styleId="Hyperlink">
    <w:name w:val="Hyperlink"/>
    <w:basedOn w:val="DefaultParagraphFont"/>
    <w:uiPriority w:val="99"/>
    <w:unhideWhenUsed/>
    <w:rsid w:val="00F60925"/>
    <w:rPr>
      <w:color w:val="0563C1" w:themeColor="hyperlink"/>
      <w:u w:val="single"/>
    </w:rPr>
  </w:style>
  <w:style w:type="paragraph" w:styleId="TOC3">
    <w:name w:val="toc 3"/>
    <w:basedOn w:val="Normal"/>
    <w:next w:val="Normal"/>
    <w:autoRedefine/>
    <w:uiPriority w:val="39"/>
    <w:unhideWhenUsed/>
    <w:rsid w:val="00996689"/>
    <w:pPr>
      <w:spacing w:after="100"/>
      <w:ind w:left="440"/>
    </w:pPr>
  </w:style>
  <w:style w:type="paragraph" w:styleId="BodyText">
    <w:name w:val="Body Text"/>
    <w:basedOn w:val="Normal"/>
    <w:link w:val="BodyTextChar"/>
    <w:uiPriority w:val="1"/>
    <w:qFormat/>
    <w:rsid w:val="000C0B9A"/>
    <w:pPr>
      <w:widowControl w:val="0"/>
      <w:spacing w:after="120"/>
    </w:pPr>
    <w:rPr>
      <w:rFonts w:asciiTheme="minorHAnsi" w:eastAsia="Arial" w:hAnsiTheme="minorHAnsi" w:cstheme="minorHAnsi"/>
    </w:rPr>
  </w:style>
  <w:style w:type="character" w:customStyle="1" w:styleId="BodyTextChar">
    <w:name w:val="Body Text Char"/>
    <w:basedOn w:val="DefaultParagraphFont"/>
    <w:link w:val="BodyText"/>
    <w:uiPriority w:val="1"/>
    <w:rsid w:val="000C0B9A"/>
    <w:rPr>
      <w:rFonts w:eastAsia="Arial"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23087">
      <w:bodyDiv w:val="1"/>
      <w:marLeft w:val="0"/>
      <w:marRight w:val="0"/>
      <w:marTop w:val="0"/>
      <w:marBottom w:val="0"/>
      <w:divBdr>
        <w:top w:val="none" w:sz="0" w:space="0" w:color="auto"/>
        <w:left w:val="none" w:sz="0" w:space="0" w:color="auto"/>
        <w:bottom w:val="none" w:sz="0" w:space="0" w:color="auto"/>
        <w:right w:val="none" w:sz="0" w:space="0" w:color="auto"/>
      </w:divBdr>
    </w:div>
    <w:div w:id="226191062">
      <w:bodyDiv w:val="1"/>
      <w:marLeft w:val="0"/>
      <w:marRight w:val="0"/>
      <w:marTop w:val="0"/>
      <w:marBottom w:val="0"/>
      <w:divBdr>
        <w:top w:val="none" w:sz="0" w:space="0" w:color="auto"/>
        <w:left w:val="none" w:sz="0" w:space="0" w:color="auto"/>
        <w:bottom w:val="none" w:sz="0" w:space="0" w:color="auto"/>
        <w:right w:val="none" w:sz="0" w:space="0" w:color="auto"/>
      </w:divBdr>
    </w:div>
    <w:div w:id="951016118">
      <w:bodyDiv w:val="1"/>
      <w:marLeft w:val="0"/>
      <w:marRight w:val="0"/>
      <w:marTop w:val="0"/>
      <w:marBottom w:val="0"/>
      <w:divBdr>
        <w:top w:val="none" w:sz="0" w:space="0" w:color="auto"/>
        <w:left w:val="none" w:sz="0" w:space="0" w:color="auto"/>
        <w:bottom w:val="none" w:sz="0" w:space="0" w:color="auto"/>
        <w:right w:val="none" w:sz="0" w:space="0" w:color="auto"/>
      </w:divBdr>
    </w:div>
    <w:div w:id="1089960341">
      <w:bodyDiv w:val="1"/>
      <w:marLeft w:val="0"/>
      <w:marRight w:val="0"/>
      <w:marTop w:val="0"/>
      <w:marBottom w:val="0"/>
      <w:divBdr>
        <w:top w:val="none" w:sz="0" w:space="0" w:color="auto"/>
        <w:left w:val="none" w:sz="0" w:space="0" w:color="auto"/>
        <w:bottom w:val="none" w:sz="0" w:space="0" w:color="auto"/>
        <w:right w:val="none" w:sz="0" w:space="0" w:color="auto"/>
      </w:divBdr>
    </w:div>
    <w:div w:id="1330450506">
      <w:bodyDiv w:val="1"/>
      <w:marLeft w:val="0"/>
      <w:marRight w:val="0"/>
      <w:marTop w:val="0"/>
      <w:marBottom w:val="0"/>
      <w:divBdr>
        <w:top w:val="none" w:sz="0" w:space="0" w:color="auto"/>
        <w:left w:val="none" w:sz="0" w:space="0" w:color="auto"/>
        <w:bottom w:val="none" w:sz="0" w:space="0" w:color="auto"/>
        <w:right w:val="none" w:sz="0" w:space="0" w:color="auto"/>
      </w:divBdr>
      <w:divsChild>
        <w:div w:id="824933580">
          <w:marLeft w:val="0"/>
          <w:marRight w:val="0"/>
          <w:marTop w:val="0"/>
          <w:marBottom w:val="0"/>
          <w:divBdr>
            <w:top w:val="none" w:sz="0" w:space="0" w:color="auto"/>
            <w:left w:val="none" w:sz="0" w:space="0" w:color="auto"/>
            <w:bottom w:val="none" w:sz="0" w:space="0" w:color="auto"/>
            <w:right w:val="none" w:sz="0" w:space="0" w:color="auto"/>
          </w:divBdr>
        </w:div>
      </w:divsChild>
    </w:div>
    <w:div w:id="195123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hony.speights@med.fsu.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ed.fsu.edu/userfiles/file/StudentHandbook.pdf"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d9f5a42b-1e8b-481e-a4eb-45290920b0f8">new language, footer states 7/2/18</Notes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B995C1B64F454A83C77580DC6DAC79" ma:contentTypeVersion="3" ma:contentTypeDescription="Create a new document." ma:contentTypeScope="" ma:versionID="a67960149e58a2d0c05fe8363a4c739d">
  <xsd:schema xmlns:xsd="http://www.w3.org/2001/XMLSchema" xmlns:xs="http://www.w3.org/2001/XMLSchema" xmlns:p="http://schemas.microsoft.com/office/2006/metadata/properties" xmlns:ns2="d9f5a42b-1e8b-481e-a4eb-45290920b0f8" xmlns:ns3="f3584b01-14e7-4882-bd14-b9d4fdd97bcc" targetNamespace="http://schemas.microsoft.com/office/2006/metadata/properties" ma:root="true" ma:fieldsID="62ff7dbbb95677a493ccb4d2d4ecc18d" ns2:_="" ns3:_="">
    <xsd:import namespace="d9f5a42b-1e8b-481e-a4eb-45290920b0f8"/>
    <xsd:import namespace="f3584b01-14e7-4882-bd14-b9d4fdd97bcc"/>
    <xsd:element name="properties">
      <xsd:complexType>
        <xsd:sequence>
          <xsd:element name="documentManagement">
            <xsd:complexType>
              <xsd:all>
                <xsd:element ref="ns2:Notes0" minOccurs="0"/>
                <xsd:element ref="ns3:_dlc_DocId" minOccurs="0"/>
                <xsd:element ref="ns3: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5a42b-1e8b-481e-a4eb-45290920b0f8" elementFormDefault="qualified">
    <xsd:import namespace="http://schemas.microsoft.com/office/2006/documentManagement/types"/>
    <xsd:import namespace="http://schemas.microsoft.com/office/infopath/2007/PartnerControls"/>
    <xsd:element name="Notes0" ma:index="2" nillable="true" ma:displayName="Notes"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584b01-14e7-4882-bd14-b9d4fdd97bcc"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F7F31-733B-4888-AE05-E355279FEF19}">
  <ds:schemaRefs>
    <ds:schemaRef ds:uri="http://purl.org/dc/elements/1.1/"/>
    <ds:schemaRef ds:uri="http://schemas.microsoft.com/office/2006/metadata/properties"/>
    <ds:schemaRef ds:uri="d9f5a42b-1e8b-481e-a4eb-45290920b0f8"/>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f3584b01-14e7-4882-bd14-b9d4fdd97bcc"/>
    <ds:schemaRef ds:uri="http://www.w3.org/XML/1998/namespace"/>
    <ds:schemaRef ds:uri="http://purl.org/dc/dcmitype/"/>
  </ds:schemaRefs>
</ds:datastoreItem>
</file>

<file path=customXml/itemProps2.xml><?xml version="1.0" encoding="utf-8"?>
<ds:datastoreItem xmlns:ds="http://schemas.openxmlformats.org/officeDocument/2006/customXml" ds:itemID="{729D09CA-C7B2-4BC7-9764-E10685FF1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5a42b-1e8b-481e-a4eb-45290920b0f8"/>
    <ds:schemaRef ds:uri="f3584b01-14e7-4882-bd14-b9d4fdd97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69B105-1ED1-42FF-BDD6-087D18CDE032}">
  <ds:schemaRefs>
    <ds:schemaRef ds:uri="http://schemas.microsoft.com/sharepoint/events"/>
  </ds:schemaRefs>
</ds:datastoreItem>
</file>

<file path=customXml/itemProps4.xml><?xml version="1.0" encoding="utf-8"?>
<ds:datastoreItem xmlns:ds="http://schemas.openxmlformats.org/officeDocument/2006/customXml" ds:itemID="{A556299D-93C8-40AE-81AA-5FA294D43DCE}">
  <ds:schemaRefs>
    <ds:schemaRef ds:uri="http://schemas.microsoft.com/sharepoint/v3/contenttype/forms"/>
  </ds:schemaRefs>
</ds:datastoreItem>
</file>

<file path=customXml/itemProps5.xml><?xml version="1.0" encoding="utf-8"?>
<ds:datastoreItem xmlns:ds="http://schemas.openxmlformats.org/officeDocument/2006/customXml" ds:itemID="{7B22DC96-0E17-43E9-B408-8BE9929F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2791</Words>
  <Characters>15914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College of Medicine, Florida State University</Company>
  <LinksUpToDate>false</LinksUpToDate>
  <CharactersWithSpaces>18668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Speights, Anthony</dc:creator>
  <cp:keywords/>
  <dc:description/>
  <cp:lastModifiedBy>Rodriguez, Heather</cp:lastModifiedBy>
  <cp:revision>6</cp:revision>
  <dcterms:created xsi:type="dcterms:W3CDTF">2018-05-31T17:59:00Z</dcterms:created>
  <dcterms:modified xsi:type="dcterms:W3CDTF">2018-07-02T15:51:00Z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0x01010071B995C1B64F454A83C77580DC6DAC79</vt:lpwstr>
  </property>
  <property fmtid="{D5CDD505-2E9C-101B-9397-08002B2CF9AE}" pid="3" name="status">
    <vt:lpwstr>Final Final from SH email 5/31 at 4:43 pm</vt:lpwstr>
  </property>
</Properties>
</file>